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254EB6" w14:textId="2519502E" w:rsidR="002649E4" w:rsidRPr="00550ADD" w:rsidRDefault="002649E4" w:rsidP="002649E4">
      <w:pPr>
        <w:pStyle w:val="Header"/>
        <w:rPr>
          <w:rFonts w:cs="Arial"/>
          <w:sz w:val="22"/>
          <w:szCs w:val="22"/>
          <w:lang w:val="en-GB" w:eastAsia="zh-CN"/>
        </w:rPr>
      </w:pPr>
      <w:r w:rsidRPr="00550ADD">
        <w:rPr>
          <w:rFonts w:eastAsia="SimSun" w:cs="Arial"/>
          <w:sz w:val="22"/>
          <w:szCs w:val="22"/>
          <w:lang w:eastAsia="zh-CN"/>
        </w:rPr>
        <w:t>3GPP TSG-RAN WG2 Meeting #129</w:t>
      </w:r>
      <w:r w:rsidR="00431181">
        <w:rPr>
          <w:rFonts w:eastAsia="SimSun" w:cs="Arial"/>
          <w:sz w:val="22"/>
          <w:szCs w:val="22"/>
          <w:lang w:eastAsia="zh-CN"/>
        </w:rPr>
        <w:t>bis</w:t>
      </w:r>
      <w:r w:rsidRPr="00550ADD">
        <w:rPr>
          <w:rFonts w:cs="Arial"/>
          <w:sz w:val="22"/>
          <w:szCs w:val="22"/>
        </w:rPr>
        <w:tab/>
      </w:r>
      <w:r w:rsidRPr="00550ADD">
        <w:rPr>
          <w:rFonts w:cs="Arial"/>
          <w:sz w:val="22"/>
          <w:szCs w:val="22"/>
        </w:rPr>
        <w:tab/>
        <w:t xml:space="preserve">     R2-250</w:t>
      </w:r>
      <w:r w:rsidR="00BD628B">
        <w:rPr>
          <w:rFonts w:cs="Arial"/>
          <w:sz w:val="22"/>
          <w:szCs w:val="22"/>
        </w:rPr>
        <w:t>2290</w:t>
      </w:r>
    </w:p>
    <w:p w14:paraId="30495451" w14:textId="77777777" w:rsidR="002649E4" w:rsidRPr="00550ADD" w:rsidRDefault="002649E4" w:rsidP="002649E4">
      <w:pPr>
        <w:pStyle w:val="Header"/>
        <w:rPr>
          <w:rFonts w:eastAsia="SimSun" w:cs="Arial"/>
          <w:sz w:val="22"/>
          <w:szCs w:val="22"/>
          <w:lang w:eastAsia="zh-CN"/>
        </w:rPr>
      </w:pPr>
      <w:r w:rsidRPr="00550ADD">
        <w:rPr>
          <w:rFonts w:eastAsia="SimSun" w:cs="Arial"/>
          <w:sz w:val="22"/>
          <w:szCs w:val="22"/>
          <w:lang w:eastAsia="zh-CN"/>
        </w:rPr>
        <w:t>Wuhan, CN: 7</w:t>
      </w:r>
      <w:r w:rsidRPr="00550ADD">
        <w:rPr>
          <w:rFonts w:eastAsia="SimSun" w:cs="Arial"/>
          <w:sz w:val="22"/>
          <w:szCs w:val="22"/>
          <w:vertAlign w:val="superscript"/>
          <w:lang w:eastAsia="zh-CN"/>
        </w:rPr>
        <w:t>th</w:t>
      </w:r>
      <w:r w:rsidRPr="00550ADD">
        <w:rPr>
          <w:rFonts w:eastAsia="SimSun" w:cs="Arial"/>
          <w:sz w:val="22"/>
          <w:szCs w:val="22"/>
          <w:lang w:eastAsia="zh-CN"/>
        </w:rPr>
        <w:t xml:space="preserve"> Apr – 11</w:t>
      </w:r>
      <w:r w:rsidRPr="00550ADD">
        <w:rPr>
          <w:rFonts w:eastAsia="SimSun" w:cs="Arial"/>
          <w:sz w:val="22"/>
          <w:szCs w:val="22"/>
          <w:vertAlign w:val="superscript"/>
          <w:lang w:eastAsia="zh-CN"/>
        </w:rPr>
        <w:t>th</w:t>
      </w:r>
      <w:r w:rsidRPr="00550ADD">
        <w:rPr>
          <w:rFonts w:eastAsia="SimSun" w:cs="Arial"/>
          <w:sz w:val="22"/>
          <w:szCs w:val="22"/>
          <w:lang w:eastAsia="zh-CN"/>
        </w:rPr>
        <w:t xml:space="preserve"> Apr 2025</w:t>
      </w:r>
    </w:p>
    <w:p w14:paraId="31A7F9B4" w14:textId="77777777" w:rsidR="006940BF" w:rsidRPr="00550ADD" w:rsidRDefault="006940BF" w:rsidP="0039008A">
      <w:pPr>
        <w:pStyle w:val="Header"/>
        <w:rPr>
          <w:rFonts w:eastAsia="SimSun" w:cs="Arial"/>
          <w:sz w:val="22"/>
          <w:szCs w:val="22"/>
          <w:lang w:eastAsia="zh-CN"/>
        </w:rPr>
      </w:pPr>
    </w:p>
    <w:p w14:paraId="2E1FA2FC" w14:textId="26E1CC1E" w:rsidR="00911ECB" w:rsidRPr="00550ADD" w:rsidRDefault="26A21899" w:rsidP="0039008A">
      <w:pPr>
        <w:pStyle w:val="Header"/>
        <w:tabs>
          <w:tab w:val="clear" w:pos="4536"/>
          <w:tab w:val="left" w:pos="1800"/>
        </w:tabs>
        <w:spacing w:after="120"/>
        <w:ind w:left="1800" w:hanging="1800"/>
        <w:rPr>
          <w:rFonts w:eastAsia="SimSun" w:cs="Arial"/>
          <w:sz w:val="22"/>
          <w:szCs w:val="22"/>
          <w:lang w:eastAsia="zh-CN"/>
        </w:rPr>
      </w:pPr>
      <w:r w:rsidRPr="00550ADD">
        <w:rPr>
          <w:rFonts w:cs="Arial"/>
          <w:sz w:val="22"/>
          <w:szCs w:val="22"/>
        </w:rPr>
        <w:t>Source:</w:t>
      </w:r>
      <w:r w:rsidR="00911ECB" w:rsidRPr="00550ADD">
        <w:rPr>
          <w:rFonts w:cs="Arial"/>
          <w:sz w:val="22"/>
          <w:szCs w:val="22"/>
        </w:rPr>
        <w:tab/>
      </w:r>
      <w:r w:rsidR="7D3BA610" w:rsidRPr="00550ADD">
        <w:rPr>
          <w:rFonts w:eastAsia="SimSun" w:cs="Arial"/>
          <w:sz w:val="22"/>
          <w:szCs w:val="22"/>
          <w:lang w:eastAsia="zh-CN"/>
        </w:rPr>
        <w:t>Qualcomm</w:t>
      </w:r>
      <w:r w:rsidR="79D32408" w:rsidRPr="00550ADD">
        <w:rPr>
          <w:rFonts w:eastAsia="SimSun" w:cs="Arial"/>
          <w:sz w:val="22"/>
          <w:szCs w:val="22"/>
          <w:lang w:eastAsia="zh-CN"/>
        </w:rPr>
        <w:t xml:space="preserve"> Incorporated </w:t>
      </w:r>
    </w:p>
    <w:p w14:paraId="4083E245" w14:textId="10971F0A" w:rsidR="00C957F7" w:rsidRPr="00550ADD" w:rsidRDefault="26A21899" w:rsidP="0039008A">
      <w:pPr>
        <w:pStyle w:val="Header"/>
        <w:tabs>
          <w:tab w:val="clear" w:pos="4536"/>
          <w:tab w:val="left" w:pos="1800"/>
        </w:tabs>
        <w:spacing w:after="120"/>
        <w:ind w:left="1798" w:hangingChars="814" w:hanging="1798"/>
        <w:rPr>
          <w:rFonts w:cs="Arial"/>
          <w:sz w:val="22"/>
          <w:szCs w:val="22"/>
        </w:rPr>
      </w:pPr>
      <w:r w:rsidRPr="00550ADD">
        <w:rPr>
          <w:rFonts w:cs="Arial"/>
          <w:sz w:val="22"/>
          <w:szCs w:val="22"/>
        </w:rPr>
        <w:t>Title:</w:t>
      </w:r>
      <w:bookmarkStart w:id="0" w:name="Title"/>
      <w:bookmarkEnd w:id="0"/>
      <w:r w:rsidR="00911ECB" w:rsidRPr="00550ADD">
        <w:rPr>
          <w:rFonts w:cs="Arial"/>
          <w:sz w:val="22"/>
          <w:szCs w:val="22"/>
        </w:rPr>
        <w:tab/>
      </w:r>
      <w:r w:rsidR="003936DD" w:rsidRPr="00550ADD">
        <w:rPr>
          <w:rStyle w:val="normaltextrun"/>
          <w:rFonts w:cs="Arial"/>
          <w:sz w:val="22"/>
          <w:szCs w:val="22"/>
        </w:rPr>
        <w:t>On LCM for UE-sided Models for Beam Management</w:t>
      </w:r>
    </w:p>
    <w:p w14:paraId="6ED5674A" w14:textId="56D5AA75" w:rsidR="00911ECB" w:rsidRPr="00550ADD" w:rsidRDefault="26A21899" w:rsidP="0039008A">
      <w:pPr>
        <w:pStyle w:val="Header"/>
        <w:tabs>
          <w:tab w:val="clear" w:pos="4536"/>
          <w:tab w:val="left" w:pos="1800"/>
        </w:tabs>
        <w:spacing w:after="120"/>
        <w:ind w:left="1798" w:hangingChars="814" w:hanging="1798"/>
        <w:rPr>
          <w:rFonts w:eastAsia="SimSun" w:cs="Arial"/>
          <w:sz w:val="22"/>
          <w:szCs w:val="22"/>
          <w:lang w:eastAsia="zh-CN"/>
        </w:rPr>
      </w:pPr>
      <w:r w:rsidRPr="00550ADD">
        <w:rPr>
          <w:rFonts w:cs="Arial"/>
          <w:sz w:val="22"/>
          <w:szCs w:val="22"/>
        </w:rPr>
        <w:t>Agenda Item:</w:t>
      </w:r>
      <w:bookmarkStart w:id="1" w:name="Source"/>
      <w:bookmarkEnd w:id="1"/>
      <w:r w:rsidR="00911ECB" w:rsidRPr="00550ADD">
        <w:rPr>
          <w:rFonts w:cs="Arial"/>
          <w:sz w:val="22"/>
          <w:szCs w:val="22"/>
        </w:rPr>
        <w:tab/>
      </w:r>
      <w:r w:rsidR="00531940" w:rsidRPr="00550ADD">
        <w:rPr>
          <w:rFonts w:cs="Arial"/>
          <w:sz w:val="22"/>
          <w:szCs w:val="22"/>
        </w:rPr>
        <w:t>8.1.2.</w:t>
      </w:r>
      <w:r w:rsidR="00F90BB5" w:rsidRPr="00550ADD">
        <w:rPr>
          <w:rFonts w:cs="Arial"/>
          <w:sz w:val="22"/>
          <w:szCs w:val="22"/>
        </w:rPr>
        <w:t>2</w:t>
      </w:r>
      <w:r w:rsidR="00531940" w:rsidRPr="00550ADD">
        <w:rPr>
          <w:rFonts w:cs="Arial"/>
          <w:sz w:val="22"/>
          <w:szCs w:val="22"/>
        </w:rPr>
        <w:t xml:space="preserve"> </w:t>
      </w:r>
      <w:r w:rsidR="00C957F7" w:rsidRPr="00550ADD">
        <w:rPr>
          <w:rFonts w:cs="Arial"/>
          <w:sz w:val="22"/>
          <w:szCs w:val="22"/>
        </w:rPr>
        <w:t xml:space="preserve">LCM for UE-sided </w:t>
      </w:r>
      <w:r w:rsidR="00C107DF" w:rsidRPr="00550ADD">
        <w:rPr>
          <w:rFonts w:cs="Arial"/>
          <w:sz w:val="22"/>
          <w:szCs w:val="22"/>
        </w:rPr>
        <w:t>model for</w:t>
      </w:r>
      <w:r w:rsidR="00C957F7" w:rsidRPr="00550ADD">
        <w:rPr>
          <w:rFonts w:cs="Arial"/>
          <w:sz w:val="22"/>
          <w:szCs w:val="22"/>
        </w:rPr>
        <w:t xml:space="preserve"> Beam Management use case</w:t>
      </w:r>
    </w:p>
    <w:p w14:paraId="0BE87C8B" w14:textId="77777777" w:rsidR="00911ECB" w:rsidRPr="00550ADD" w:rsidRDefault="26A21899" w:rsidP="0039008A">
      <w:pPr>
        <w:pStyle w:val="Header"/>
        <w:tabs>
          <w:tab w:val="left" w:pos="1800"/>
        </w:tabs>
        <w:rPr>
          <w:rFonts w:eastAsia="SimSun" w:cs="Arial"/>
          <w:sz w:val="22"/>
          <w:szCs w:val="22"/>
          <w:lang w:eastAsia="zh-CN"/>
        </w:rPr>
      </w:pPr>
      <w:r w:rsidRPr="00550ADD">
        <w:rPr>
          <w:rFonts w:cs="Arial"/>
          <w:sz w:val="22"/>
          <w:szCs w:val="22"/>
        </w:rPr>
        <w:t>Document for:</w:t>
      </w:r>
      <w:r w:rsidR="00911ECB" w:rsidRPr="00550ADD">
        <w:rPr>
          <w:rFonts w:cs="Arial"/>
          <w:sz w:val="22"/>
          <w:szCs w:val="22"/>
        </w:rPr>
        <w:tab/>
      </w:r>
      <w:bookmarkStart w:id="2" w:name="DocumentFor"/>
      <w:bookmarkEnd w:id="2"/>
      <w:r w:rsidRPr="00550ADD">
        <w:rPr>
          <w:rFonts w:eastAsia="SimSun" w:cs="Arial"/>
          <w:sz w:val="22"/>
          <w:szCs w:val="22"/>
          <w:lang w:eastAsia="zh-CN"/>
        </w:rPr>
        <w:t>Discussion and Decision</w:t>
      </w:r>
    </w:p>
    <w:p w14:paraId="70FEA14E" w14:textId="18838F09" w:rsidR="00911ECB" w:rsidRPr="00550ADD" w:rsidRDefault="26A21899" w:rsidP="0039008A">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textAlignment w:val="baseline"/>
        <w:rPr>
          <w:b w:val="0"/>
          <w:bCs w:val="0"/>
          <w:kern w:val="0"/>
        </w:rPr>
      </w:pPr>
      <w:bookmarkStart w:id="3" w:name="OLE_LINK13"/>
      <w:bookmarkStart w:id="4" w:name="OLE_LINK14"/>
      <w:r w:rsidRPr="00550ADD">
        <w:rPr>
          <w:b w:val="0"/>
          <w:bCs w:val="0"/>
          <w:kern w:val="0"/>
          <w:lang w:eastAsia="en-GB"/>
        </w:rPr>
        <w:t>Introduction</w:t>
      </w:r>
      <w:r w:rsidRPr="00550ADD">
        <w:rPr>
          <w:b w:val="0"/>
          <w:bCs w:val="0"/>
          <w:kern w:val="0"/>
        </w:rPr>
        <w:t xml:space="preserve"> &amp; Background</w:t>
      </w:r>
    </w:p>
    <w:p w14:paraId="27F5F991" w14:textId="534A4ECE" w:rsidR="009F49DC" w:rsidRPr="00550ADD" w:rsidRDefault="009F49DC" w:rsidP="0039008A">
      <w:pPr>
        <w:pStyle w:val="BodyText"/>
        <w:jc w:val="left"/>
        <w:rPr>
          <w:rFonts w:ascii="Arial" w:hAnsi="Arial" w:cs="Arial"/>
        </w:rPr>
      </w:pPr>
      <w:r w:rsidRPr="00550ADD">
        <w:rPr>
          <w:rFonts w:ascii="Arial" w:hAnsi="Arial" w:cs="Arial"/>
        </w:rPr>
        <w:t xml:space="preserve">The Rel-18 study on AI/ML Air Interface [1] has been concluded. The study has been captured in the Technical Report TR 38.843 [2]. Based on the Rel-18 study outcome, RAN #102, a new </w:t>
      </w:r>
      <w:r w:rsidR="0095192E" w:rsidRPr="00550ADD">
        <w:rPr>
          <w:rFonts w:ascii="Arial" w:hAnsi="Arial" w:cs="Arial"/>
        </w:rPr>
        <w:t>work item</w:t>
      </w:r>
      <w:r w:rsidRPr="00550ADD">
        <w:rPr>
          <w:rFonts w:ascii="Arial" w:hAnsi="Arial" w:cs="Arial"/>
        </w:rPr>
        <w:t xml:space="preserve"> on artificial intelligence/machine learning for NR air interface has been approved in [3]</w:t>
      </w:r>
      <w:r w:rsidR="00CA634D" w:rsidRPr="00550ADD">
        <w:rPr>
          <w:rFonts w:ascii="Arial" w:hAnsi="Arial" w:cs="Arial"/>
        </w:rPr>
        <w:t xml:space="preserve">. </w:t>
      </w:r>
    </w:p>
    <w:p w14:paraId="188C5A33" w14:textId="30CC6BD9" w:rsidR="008B66E8" w:rsidRPr="00550ADD" w:rsidRDefault="00911F34" w:rsidP="0039008A">
      <w:pPr>
        <w:pStyle w:val="BodyText"/>
        <w:jc w:val="left"/>
        <w:rPr>
          <w:rFonts w:ascii="Arial" w:hAnsi="Arial" w:cs="Arial"/>
          <w:szCs w:val="20"/>
        </w:rPr>
      </w:pPr>
      <w:r w:rsidRPr="00550ADD">
        <w:rPr>
          <w:rFonts w:ascii="Arial" w:hAnsi="Arial" w:cs="Arial"/>
          <w:szCs w:val="20"/>
        </w:rPr>
        <w:t>This paper discusses</w:t>
      </w:r>
      <w:r w:rsidR="009F49DC" w:rsidRPr="00550ADD">
        <w:rPr>
          <w:rFonts w:ascii="Arial" w:hAnsi="Arial" w:cs="Arial"/>
          <w:szCs w:val="20"/>
        </w:rPr>
        <w:t xml:space="preserve"> the “</w:t>
      </w:r>
      <w:r w:rsidR="009F49DC" w:rsidRPr="00550ADD">
        <w:rPr>
          <w:rStyle w:val="normaltextrun"/>
          <w:rFonts w:ascii="Arial" w:hAnsi="Arial" w:cs="Arial"/>
          <w:szCs w:val="20"/>
        </w:rPr>
        <w:t>LCM of UE-sided models</w:t>
      </w:r>
      <w:r w:rsidR="005E6387" w:rsidRPr="00550ADD">
        <w:rPr>
          <w:rStyle w:val="normaltextrun"/>
          <w:rFonts w:ascii="Arial" w:hAnsi="Arial" w:cs="Arial"/>
          <w:szCs w:val="20"/>
        </w:rPr>
        <w:t xml:space="preserve"> for beam management use case</w:t>
      </w:r>
      <w:r w:rsidR="009F49DC" w:rsidRPr="00550ADD">
        <w:rPr>
          <w:rStyle w:val="normaltextrun"/>
          <w:rFonts w:ascii="Arial" w:hAnsi="Arial" w:cs="Arial"/>
          <w:szCs w:val="20"/>
        </w:rPr>
        <w:t xml:space="preserve">” considering </w:t>
      </w:r>
      <w:r w:rsidR="00CD74D1" w:rsidRPr="00550ADD">
        <w:rPr>
          <w:rStyle w:val="normaltextrun"/>
          <w:rFonts w:ascii="Arial" w:hAnsi="Arial" w:cs="Arial"/>
          <w:szCs w:val="20"/>
        </w:rPr>
        <w:t>recent RAN1/RAN2 agreements</w:t>
      </w:r>
      <w:r w:rsidR="009F49DC" w:rsidRPr="00550ADD">
        <w:rPr>
          <w:rStyle w:val="normaltextrun"/>
          <w:rFonts w:ascii="Arial" w:hAnsi="Arial" w:cs="Arial"/>
          <w:szCs w:val="20"/>
        </w:rPr>
        <w:t>.</w:t>
      </w:r>
    </w:p>
    <w:p w14:paraId="6C42E41E" w14:textId="232A4F83" w:rsidR="000A24BF" w:rsidRPr="00550ADD" w:rsidRDefault="00194D26" w:rsidP="0039008A">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textAlignment w:val="baseline"/>
        <w:rPr>
          <w:b w:val="0"/>
          <w:bCs w:val="0"/>
          <w:kern w:val="0"/>
        </w:rPr>
      </w:pPr>
      <w:r w:rsidRPr="00550ADD">
        <w:rPr>
          <w:b w:val="0"/>
          <w:bCs w:val="0"/>
          <w:kern w:val="0"/>
        </w:rPr>
        <w:t xml:space="preserve">Discussion on </w:t>
      </w:r>
      <w:r w:rsidR="009F49DC" w:rsidRPr="00550ADD">
        <w:rPr>
          <w:b w:val="0"/>
          <w:bCs w:val="0"/>
          <w:kern w:val="0"/>
        </w:rPr>
        <w:t>LCM of UE-sided Models</w:t>
      </w:r>
      <w:r w:rsidRPr="00550ADD">
        <w:rPr>
          <w:b w:val="0"/>
          <w:bCs w:val="0"/>
          <w:kern w:val="0"/>
        </w:rPr>
        <w:t xml:space="preserve"> for Beam Management  </w:t>
      </w:r>
    </w:p>
    <w:p w14:paraId="4EF8D648" w14:textId="2A61CB28" w:rsidR="00087161" w:rsidRPr="00550ADD" w:rsidRDefault="00ED1C1A" w:rsidP="004B62C4">
      <w:pPr>
        <w:pStyle w:val="BodyText"/>
        <w:jc w:val="left"/>
        <w:outlineLvl w:val="1"/>
        <w:rPr>
          <w:rFonts w:ascii="Arial" w:hAnsi="Arial" w:cs="Arial"/>
          <w:b/>
          <w:bCs/>
          <w:lang w:eastAsia="ja-JP"/>
        </w:rPr>
      </w:pPr>
      <w:r w:rsidRPr="00550ADD">
        <w:rPr>
          <w:rFonts w:ascii="Arial" w:hAnsi="Arial" w:cs="Arial"/>
          <w:b/>
          <w:bCs/>
          <w:lang w:eastAsia="ja-JP"/>
        </w:rPr>
        <w:t xml:space="preserve">2.1 </w:t>
      </w:r>
      <w:r w:rsidR="00F75D4F" w:rsidRPr="00550ADD">
        <w:rPr>
          <w:rFonts w:ascii="Arial" w:hAnsi="Arial" w:cs="Arial"/>
          <w:b/>
          <w:bCs/>
          <w:lang w:eastAsia="ja-JP"/>
        </w:rPr>
        <w:t xml:space="preserve">Applicability </w:t>
      </w:r>
      <w:r w:rsidR="007D4905" w:rsidRPr="00550ADD">
        <w:rPr>
          <w:rFonts w:ascii="Arial" w:hAnsi="Arial" w:cs="Arial"/>
          <w:b/>
          <w:bCs/>
          <w:lang w:eastAsia="ja-JP"/>
        </w:rPr>
        <w:t>Signaling</w:t>
      </w:r>
      <w:r w:rsidR="00F75D4F" w:rsidRPr="00550ADD">
        <w:rPr>
          <w:rFonts w:ascii="Arial" w:hAnsi="Arial" w:cs="Arial"/>
          <w:b/>
          <w:bCs/>
          <w:lang w:eastAsia="ja-JP"/>
        </w:rPr>
        <w:t xml:space="preserve"> </w:t>
      </w:r>
      <w:r w:rsidR="0025177D" w:rsidRPr="00550ADD">
        <w:rPr>
          <w:rFonts w:ascii="Arial" w:hAnsi="Arial" w:cs="Arial"/>
          <w:b/>
          <w:bCs/>
          <w:lang w:eastAsia="ja-JP"/>
        </w:rPr>
        <w:t>Aspects</w:t>
      </w:r>
    </w:p>
    <w:p w14:paraId="2DAD3697" w14:textId="5511DCEF" w:rsidR="008107EF" w:rsidRPr="00550ADD" w:rsidRDefault="008107EF" w:rsidP="008107EF">
      <w:pPr>
        <w:pStyle w:val="BodyText"/>
        <w:jc w:val="left"/>
        <w:outlineLvl w:val="2"/>
        <w:rPr>
          <w:rFonts w:ascii="Arial" w:hAnsi="Arial" w:cs="Arial"/>
          <w:b/>
          <w:bCs/>
          <w:lang w:eastAsia="ja-JP"/>
        </w:rPr>
      </w:pPr>
      <w:r w:rsidRPr="00550ADD">
        <w:rPr>
          <w:rFonts w:ascii="Arial" w:hAnsi="Arial" w:cs="Arial"/>
          <w:b/>
          <w:bCs/>
          <w:lang w:eastAsia="ja-JP"/>
        </w:rPr>
        <w:t>2.1.1 Signaling Detail for Inference Related Parameter Set</w:t>
      </w:r>
    </w:p>
    <w:p w14:paraId="2616AA23" w14:textId="273B3AB8" w:rsidR="009632B6" w:rsidRPr="00550ADD" w:rsidRDefault="00724C26" w:rsidP="00290A95">
      <w:pPr>
        <w:pStyle w:val="BodyText"/>
        <w:spacing w:after="0"/>
        <w:jc w:val="left"/>
        <w:rPr>
          <w:rFonts w:ascii="Arial" w:hAnsi="Arial" w:cs="Arial"/>
          <w:lang w:eastAsia="ja-JP"/>
        </w:rPr>
      </w:pPr>
      <w:r w:rsidRPr="00550ADD">
        <w:rPr>
          <w:rFonts w:ascii="Arial" w:hAnsi="Arial" w:cs="Arial"/>
          <w:lang w:eastAsia="ja-JP"/>
        </w:rPr>
        <w:t>In the RAN2#129 meeting [</w:t>
      </w:r>
      <w:r w:rsidR="00F4133D" w:rsidRPr="00550ADD">
        <w:rPr>
          <w:rFonts w:ascii="Arial" w:hAnsi="Arial" w:cs="Arial"/>
          <w:lang w:eastAsia="ja-JP"/>
        </w:rPr>
        <w:t>4</w:t>
      </w:r>
      <w:r w:rsidRPr="00550ADD">
        <w:rPr>
          <w:rFonts w:ascii="Arial" w:hAnsi="Arial" w:cs="Arial"/>
          <w:lang w:eastAsia="ja-JP"/>
        </w:rPr>
        <w:t xml:space="preserve">], RAN2 had the following agreements </w:t>
      </w:r>
    </w:p>
    <w:p w14:paraId="69C64BF9" w14:textId="77777777" w:rsidR="00724C26" w:rsidRPr="00550ADD" w:rsidRDefault="00724C26" w:rsidP="00290A95">
      <w:pPr>
        <w:pStyle w:val="BodyText"/>
        <w:spacing w:after="0"/>
        <w:jc w:val="left"/>
        <w:rPr>
          <w:rFonts w:ascii="Arial" w:hAnsi="Arial" w:cs="Arial"/>
          <w:lang w:eastAsia="ja-JP"/>
        </w:rPr>
      </w:pPr>
    </w:p>
    <w:p w14:paraId="5128A240" w14:textId="77777777" w:rsidR="00724C26" w:rsidRPr="00550ADD" w:rsidRDefault="00724C26" w:rsidP="00724C26">
      <w:pPr>
        <w:pStyle w:val="Doc-text2"/>
        <w:pBdr>
          <w:top w:val="single" w:sz="4" w:space="1" w:color="auto"/>
          <w:left w:val="single" w:sz="4" w:space="1" w:color="auto"/>
          <w:bottom w:val="single" w:sz="4" w:space="1" w:color="auto"/>
          <w:right w:val="single" w:sz="4" w:space="1" w:color="auto"/>
        </w:pBdr>
        <w:rPr>
          <w:rFonts w:cs="Arial"/>
          <w:b/>
          <w:bCs/>
        </w:rPr>
      </w:pPr>
      <w:r w:rsidRPr="00550ADD">
        <w:rPr>
          <w:rFonts w:cs="Arial"/>
          <w:b/>
          <w:bCs/>
        </w:rPr>
        <w:t>Agreements</w:t>
      </w:r>
    </w:p>
    <w:p w14:paraId="1EE545D9" w14:textId="77777777" w:rsidR="00724C26" w:rsidRPr="00550ADD" w:rsidRDefault="00724C26" w:rsidP="00724C26">
      <w:pPr>
        <w:pStyle w:val="ListParagraph"/>
        <w:numPr>
          <w:ilvl w:val="0"/>
          <w:numId w:val="17"/>
        </w:numPr>
        <w:pBdr>
          <w:top w:val="single" w:sz="4" w:space="1" w:color="auto"/>
          <w:left w:val="single" w:sz="4" w:space="1" w:color="auto"/>
          <w:bottom w:val="single" w:sz="4" w:space="1" w:color="auto"/>
          <w:right w:val="single" w:sz="4" w:space="1" w:color="auto"/>
        </w:pBdr>
        <w:contextualSpacing w:val="0"/>
        <w:rPr>
          <w:rFonts w:ascii="Arial" w:eastAsia="MS Mincho" w:hAnsi="Arial" w:cs="Arial"/>
          <w:bCs/>
        </w:rPr>
      </w:pPr>
      <w:r w:rsidRPr="00550ADD">
        <w:rPr>
          <w:rFonts w:ascii="Arial" w:eastAsia="MS Mincho" w:hAnsi="Arial" w:cs="Arial"/>
          <w:bCs/>
        </w:rPr>
        <w:t xml:space="preserve">Inference configuration/parameters can be </w:t>
      </w:r>
      <w:proofErr w:type="spellStart"/>
      <w:r w:rsidRPr="00550ADD">
        <w:rPr>
          <w:rFonts w:ascii="Arial" w:eastAsia="MS Mincho" w:hAnsi="Arial" w:cs="Arial"/>
          <w:bCs/>
        </w:rPr>
        <w:t>signalled</w:t>
      </w:r>
      <w:proofErr w:type="spellEnd"/>
      <w:r w:rsidRPr="00550ADD">
        <w:rPr>
          <w:rFonts w:ascii="Arial" w:eastAsia="MS Mincho" w:hAnsi="Arial" w:cs="Arial"/>
          <w:bCs/>
        </w:rPr>
        <w:t xml:space="preserve"> in step 3 and/or Inference configuration can be </w:t>
      </w:r>
      <w:proofErr w:type="spellStart"/>
      <w:r w:rsidRPr="00550ADD">
        <w:rPr>
          <w:rFonts w:ascii="Arial" w:eastAsia="MS Mincho" w:hAnsi="Arial" w:cs="Arial"/>
          <w:bCs/>
        </w:rPr>
        <w:t>signalled</w:t>
      </w:r>
      <w:proofErr w:type="spellEnd"/>
      <w:r w:rsidRPr="00550ADD">
        <w:rPr>
          <w:rFonts w:ascii="Arial" w:eastAsia="MS Mincho" w:hAnsi="Arial" w:cs="Arial"/>
          <w:bCs/>
        </w:rPr>
        <w:t xml:space="preserve"> in step 5 (i.e. option a and option b from RAN1).   </w:t>
      </w:r>
    </w:p>
    <w:p w14:paraId="5CB54C14" w14:textId="77777777" w:rsidR="00724C26" w:rsidRPr="00550ADD" w:rsidRDefault="00724C26" w:rsidP="00724C26">
      <w:pPr>
        <w:pStyle w:val="Agreement"/>
        <w:numPr>
          <w:ilvl w:val="0"/>
          <w:numId w:val="17"/>
        </w:numPr>
        <w:pBdr>
          <w:top w:val="single" w:sz="4" w:space="1" w:color="auto"/>
          <w:left w:val="single" w:sz="4" w:space="1" w:color="auto"/>
          <w:bottom w:val="single" w:sz="4" w:space="1" w:color="auto"/>
          <w:right w:val="single" w:sz="4" w:space="1" w:color="auto"/>
        </w:pBdr>
        <w:rPr>
          <w:rFonts w:cs="Arial"/>
          <w:b w:val="0"/>
          <w:bCs/>
        </w:rPr>
      </w:pPr>
      <w:r w:rsidRPr="00550ADD">
        <w:rPr>
          <w:rFonts w:cs="Arial"/>
          <w:b w:val="0"/>
          <w:bCs/>
        </w:rPr>
        <w:t>The full inference configuration is sent in CSI-</w:t>
      </w:r>
      <w:proofErr w:type="spellStart"/>
      <w:r w:rsidRPr="00550ADD">
        <w:rPr>
          <w:rFonts w:cs="Arial"/>
          <w:b w:val="0"/>
          <w:bCs/>
        </w:rPr>
        <w:t>ReportConfig</w:t>
      </w:r>
      <w:proofErr w:type="spellEnd"/>
      <w:r w:rsidRPr="00550ADD">
        <w:rPr>
          <w:rFonts w:cs="Arial"/>
          <w:b w:val="0"/>
          <w:bCs/>
        </w:rPr>
        <w:t xml:space="preserve">. </w:t>
      </w:r>
    </w:p>
    <w:p w14:paraId="32348896" w14:textId="77777777" w:rsidR="00724C26" w:rsidRPr="00550ADD" w:rsidRDefault="00724C26" w:rsidP="00724C26">
      <w:pPr>
        <w:pStyle w:val="Agreement"/>
        <w:numPr>
          <w:ilvl w:val="0"/>
          <w:numId w:val="17"/>
        </w:numPr>
        <w:pBdr>
          <w:top w:val="single" w:sz="4" w:space="1" w:color="auto"/>
          <w:left w:val="single" w:sz="4" w:space="1" w:color="auto"/>
          <w:bottom w:val="single" w:sz="4" w:space="1" w:color="auto"/>
          <w:right w:val="single" w:sz="4" w:space="1" w:color="auto"/>
        </w:pBdr>
        <w:rPr>
          <w:rFonts w:cs="Arial"/>
          <w:b w:val="0"/>
          <w:bCs/>
        </w:rPr>
      </w:pPr>
      <w:r w:rsidRPr="00550ADD">
        <w:rPr>
          <w:rFonts w:cs="Arial"/>
          <w:b w:val="0"/>
          <w:bCs/>
        </w:rPr>
        <w:t>Upon receiving a full inference configuration, the UE sends the initial applicability report in RRCReconfigurationComplete. UAI can be sent to update applicability.</w:t>
      </w:r>
    </w:p>
    <w:p w14:paraId="2468BCDC" w14:textId="77777777" w:rsidR="00724C26" w:rsidRPr="00550ADD" w:rsidRDefault="00724C26" w:rsidP="00724C26">
      <w:pPr>
        <w:pStyle w:val="Agreement"/>
        <w:numPr>
          <w:ilvl w:val="0"/>
          <w:numId w:val="17"/>
        </w:numPr>
        <w:pBdr>
          <w:top w:val="single" w:sz="4" w:space="1" w:color="auto"/>
          <w:left w:val="single" w:sz="4" w:space="1" w:color="auto"/>
          <w:bottom w:val="single" w:sz="4" w:space="1" w:color="auto"/>
          <w:right w:val="single" w:sz="4" w:space="1" w:color="auto"/>
        </w:pBdr>
        <w:rPr>
          <w:rFonts w:cs="Arial"/>
          <w:b w:val="0"/>
          <w:bCs/>
        </w:rPr>
      </w:pPr>
      <w:r w:rsidRPr="00550ADD">
        <w:rPr>
          <w:rFonts w:cs="Arial"/>
          <w:b w:val="0"/>
          <w:bCs/>
        </w:rPr>
        <w:t xml:space="preserve">FFS </w:t>
      </w:r>
      <w:proofErr w:type="spellStart"/>
      <w:r w:rsidRPr="00550ADD">
        <w:rPr>
          <w:rFonts w:cs="Arial"/>
          <w:b w:val="0"/>
          <w:bCs/>
        </w:rPr>
        <w:t>signaling</w:t>
      </w:r>
      <w:proofErr w:type="spellEnd"/>
      <w:r w:rsidRPr="00550ADD">
        <w:rPr>
          <w:rFonts w:cs="Arial"/>
          <w:b w:val="0"/>
          <w:bCs/>
        </w:rPr>
        <w:t xml:space="preserve"> details for option B (e.g. whether it is </w:t>
      </w:r>
      <w:proofErr w:type="spellStart"/>
      <w:r w:rsidRPr="00550ADD">
        <w:rPr>
          <w:rFonts w:cs="Arial"/>
          <w:b w:val="0"/>
          <w:bCs/>
        </w:rPr>
        <w:t>signaling</w:t>
      </w:r>
      <w:proofErr w:type="spellEnd"/>
      <w:r w:rsidRPr="00550ADD">
        <w:rPr>
          <w:rFonts w:cs="Arial"/>
          <w:b w:val="0"/>
          <w:bCs/>
        </w:rPr>
        <w:t xml:space="preserve"> in CSI-Report Config or otherconfig)</w:t>
      </w:r>
    </w:p>
    <w:p w14:paraId="0D662CB8" w14:textId="77777777" w:rsidR="00724C26" w:rsidRPr="00550ADD" w:rsidRDefault="00724C26" w:rsidP="008B39A8">
      <w:pPr>
        <w:pStyle w:val="BodyText"/>
        <w:spacing w:after="0"/>
        <w:jc w:val="left"/>
        <w:rPr>
          <w:rFonts w:ascii="Arial" w:hAnsi="Arial" w:cs="Arial"/>
          <w:lang w:eastAsia="ja-JP"/>
        </w:rPr>
      </w:pPr>
    </w:p>
    <w:p w14:paraId="106370EB" w14:textId="77777777" w:rsidR="00724C26" w:rsidRPr="00550ADD" w:rsidRDefault="00724C26" w:rsidP="008B39A8">
      <w:pPr>
        <w:pStyle w:val="BodyText"/>
        <w:spacing w:after="0"/>
        <w:jc w:val="left"/>
        <w:rPr>
          <w:rFonts w:ascii="Arial" w:hAnsi="Arial" w:cs="Arial"/>
          <w:lang w:eastAsia="ja-JP"/>
        </w:rPr>
      </w:pPr>
      <w:r w:rsidRPr="00550ADD">
        <w:rPr>
          <w:rFonts w:ascii="Arial" w:hAnsi="Arial" w:cs="Arial"/>
          <w:lang w:eastAsia="ja-JP"/>
        </w:rPr>
        <w:t>Note that t</w:t>
      </w:r>
      <w:r w:rsidR="008B39A8" w:rsidRPr="00550ADD">
        <w:rPr>
          <w:rFonts w:ascii="Arial" w:hAnsi="Arial" w:cs="Arial"/>
          <w:lang w:eastAsia="ja-JP"/>
        </w:rPr>
        <w:t xml:space="preserve">he </w:t>
      </w:r>
      <w:r w:rsidR="00DE304B" w:rsidRPr="00550ADD">
        <w:rPr>
          <w:rFonts w:ascii="Arial" w:hAnsi="Arial" w:cs="Arial"/>
          <w:lang w:eastAsia="ja-JP"/>
        </w:rPr>
        <w:t>UE side train</w:t>
      </w:r>
      <w:r w:rsidR="00AF4F59" w:rsidRPr="00550ADD">
        <w:rPr>
          <w:rFonts w:ascii="Arial" w:hAnsi="Arial" w:cs="Arial"/>
          <w:lang w:eastAsia="ja-JP"/>
        </w:rPr>
        <w:t>s</w:t>
      </w:r>
      <w:r w:rsidR="00DE304B" w:rsidRPr="00550ADD">
        <w:rPr>
          <w:rFonts w:ascii="Arial" w:hAnsi="Arial" w:cs="Arial"/>
          <w:lang w:eastAsia="ja-JP"/>
        </w:rPr>
        <w:t xml:space="preserve"> the AI/ML models for one or more CSI resource/resource </w:t>
      </w:r>
      <w:r w:rsidR="003031B1" w:rsidRPr="00550ADD">
        <w:rPr>
          <w:rFonts w:ascii="Arial" w:hAnsi="Arial" w:cs="Arial"/>
          <w:lang w:eastAsia="ja-JP"/>
        </w:rPr>
        <w:t>sets</w:t>
      </w:r>
      <w:r w:rsidR="00DE304B" w:rsidRPr="00550ADD">
        <w:rPr>
          <w:rFonts w:ascii="Arial" w:hAnsi="Arial" w:cs="Arial"/>
          <w:lang w:eastAsia="ja-JP"/>
        </w:rPr>
        <w:t xml:space="preserve"> </w:t>
      </w:r>
      <w:r w:rsidR="00702C6A" w:rsidRPr="00550ADD">
        <w:rPr>
          <w:rFonts w:ascii="Arial" w:hAnsi="Arial" w:cs="Arial"/>
          <w:lang w:eastAsia="ja-JP"/>
        </w:rPr>
        <w:t xml:space="preserve">and associated IDs </w:t>
      </w:r>
      <w:r w:rsidR="00DE304B" w:rsidRPr="00550ADD">
        <w:rPr>
          <w:rFonts w:ascii="Arial" w:hAnsi="Arial" w:cs="Arial"/>
          <w:lang w:eastAsia="ja-JP"/>
        </w:rPr>
        <w:t>signaled</w:t>
      </w:r>
      <w:r w:rsidR="000D63AA" w:rsidRPr="00550ADD">
        <w:rPr>
          <w:rFonts w:ascii="Arial" w:hAnsi="Arial" w:cs="Arial"/>
          <w:lang w:eastAsia="ja-JP"/>
        </w:rPr>
        <w:t xml:space="preserve"> (e.g., using CSI-</w:t>
      </w:r>
      <w:proofErr w:type="spellStart"/>
      <w:r w:rsidR="000D63AA" w:rsidRPr="00550ADD">
        <w:rPr>
          <w:rFonts w:ascii="Arial" w:hAnsi="Arial" w:cs="Arial"/>
          <w:lang w:eastAsia="ja-JP"/>
        </w:rPr>
        <w:t>ReportC</w:t>
      </w:r>
      <w:r w:rsidR="00702C6A" w:rsidRPr="00550ADD">
        <w:rPr>
          <w:rFonts w:ascii="Arial" w:hAnsi="Arial" w:cs="Arial"/>
          <w:lang w:eastAsia="ja-JP"/>
        </w:rPr>
        <w:t>o</w:t>
      </w:r>
      <w:r w:rsidR="000D63AA" w:rsidRPr="00550ADD">
        <w:rPr>
          <w:rFonts w:ascii="Arial" w:hAnsi="Arial" w:cs="Arial"/>
          <w:lang w:eastAsia="ja-JP"/>
        </w:rPr>
        <w:t>nfig</w:t>
      </w:r>
      <w:proofErr w:type="spellEnd"/>
      <w:r w:rsidR="000D63AA" w:rsidRPr="00550ADD">
        <w:rPr>
          <w:rFonts w:ascii="Arial" w:hAnsi="Arial" w:cs="Arial"/>
          <w:lang w:eastAsia="ja-JP"/>
        </w:rPr>
        <w:t>)</w:t>
      </w:r>
      <w:r w:rsidR="00DE304B" w:rsidRPr="00550ADD">
        <w:rPr>
          <w:rFonts w:ascii="Arial" w:hAnsi="Arial" w:cs="Arial"/>
          <w:lang w:eastAsia="ja-JP"/>
        </w:rPr>
        <w:t xml:space="preserve"> by the gNB </w:t>
      </w:r>
      <w:r w:rsidR="003031B1" w:rsidRPr="00550ADD">
        <w:rPr>
          <w:rFonts w:ascii="Arial" w:hAnsi="Arial" w:cs="Arial"/>
          <w:lang w:eastAsia="ja-JP"/>
        </w:rPr>
        <w:t>during the data collection</w:t>
      </w:r>
      <w:r w:rsidR="000D63AA" w:rsidRPr="00550ADD">
        <w:rPr>
          <w:rFonts w:ascii="Arial" w:hAnsi="Arial" w:cs="Arial"/>
          <w:lang w:eastAsia="ja-JP"/>
        </w:rPr>
        <w:t>.</w:t>
      </w:r>
      <w:r w:rsidR="00DE304B" w:rsidRPr="00550ADD">
        <w:rPr>
          <w:rFonts w:ascii="Arial" w:hAnsi="Arial" w:cs="Arial"/>
          <w:lang w:eastAsia="ja-JP"/>
        </w:rPr>
        <w:t xml:space="preserve"> </w:t>
      </w:r>
      <w:r w:rsidRPr="00550ADD">
        <w:rPr>
          <w:rFonts w:ascii="Arial" w:hAnsi="Arial" w:cs="Arial"/>
          <w:lang w:eastAsia="ja-JP"/>
        </w:rPr>
        <w:t xml:space="preserve">Furthermore, the UE model may be trained to produce the prediction result based on reporting configuration or type (e.g., predict a fixed number of top beams, a fixed number of prediction instances, or prediction at a fixed periodicity). </w:t>
      </w:r>
      <w:r w:rsidR="00116A76" w:rsidRPr="00550ADD">
        <w:rPr>
          <w:rFonts w:ascii="Arial" w:hAnsi="Arial" w:cs="Arial"/>
          <w:lang w:eastAsia="ja-JP"/>
        </w:rPr>
        <w:t xml:space="preserve">To determine the applicability, the UE needs to check </w:t>
      </w:r>
      <w:r w:rsidR="00FC0248" w:rsidRPr="00550ADD">
        <w:rPr>
          <w:rFonts w:ascii="Arial" w:hAnsi="Arial" w:cs="Arial"/>
          <w:lang w:eastAsia="ja-JP"/>
        </w:rPr>
        <w:t xml:space="preserve">whether the UE </w:t>
      </w:r>
      <w:r w:rsidR="007124CE" w:rsidRPr="00550ADD">
        <w:rPr>
          <w:rFonts w:ascii="Arial" w:hAnsi="Arial" w:cs="Arial"/>
          <w:lang w:eastAsia="ja-JP"/>
        </w:rPr>
        <w:t>has</w:t>
      </w:r>
      <w:r w:rsidR="00FC0248" w:rsidRPr="00550ADD">
        <w:rPr>
          <w:rFonts w:ascii="Arial" w:hAnsi="Arial" w:cs="Arial"/>
          <w:lang w:eastAsia="ja-JP"/>
        </w:rPr>
        <w:t xml:space="preserve"> trained models for </w:t>
      </w:r>
      <w:r w:rsidR="009E3453" w:rsidRPr="00550ADD">
        <w:rPr>
          <w:rFonts w:ascii="Arial" w:hAnsi="Arial" w:cs="Arial"/>
          <w:lang w:eastAsia="ja-JP"/>
        </w:rPr>
        <w:t>RS configuration</w:t>
      </w:r>
      <w:r w:rsidR="00453265" w:rsidRPr="00550ADD">
        <w:rPr>
          <w:rFonts w:ascii="Arial" w:hAnsi="Arial" w:cs="Arial"/>
          <w:lang w:eastAsia="ja-JP"/>
        </w:rPr>
        <w:t>s</w:t>
      </w:r>
      <w:r w:rsidR="009E3453" w:rsidRPr="00550ADD">
        <w:rPr>
          <w:rFonts w:ascii="Arial" w:hAnsi="Arial" w:cs="Arial"/>
          <w:lang w:eastAsia="ja-JP"/>
        </w:rPr>
        <w:t xml:space="preserve"> (i.e., </w:t>
      </w:r>
      <w:r w:rsidR="001C7393" w:rsidRPr="00550ADD">
        <w:rPr>
          <w:rFonts w:ascii="Arial" w:hAnsi="Arial" w:cs="Arial"/>
          <w:lang w:eastAsia="ja-JP"/>
        </w:rPr>
        <w:t>[</w:t>
      </w:r>
      <w:r w:rsidR="009E3453" w:rsidRPr="00550ADD">
        <w:rPr>
          <w:rFonts w:ascii="Arial" w:hAnsi="Arial" w:cs="Arial"/>
          <w:lang w:eastAsia="ja-JP"/>
        </w:rPr>
        <w:t>set A</w:t>
      </w:r>
      <w:r w:rsidR="001C7393" w:rsidRPr="00550ADD">
        <w:rPr>
          <w:rFonts w:ascii="Arial" w:hAnsi="Arial" w:cs="Arial"/>
          <w:lang w:eastAsia="ja-JP"/>
        </w:rPr>
        <w:t>,</w:t>
      </w:r>
      <w:r w:rsidR="00105B8C" w:rsidRPr="00550ADD">
        <w:rPr>
          <w:rFonts w:ascii="Arial" w:hAnsi="Arial" w:cs="Arial"/>
          <w:lang w:eastAsia="ja-JP"/>
        </w:rPr>
        <w:t xml:space="preserve"> set B</w:t>
      </w:r>
      <w:r w:rsidR="001C7393" w:rsidRPr="00550ADD">
        <w:rPr>
          <w:rFonts w:ascii="Arial" w:hAnsi="Arial" w:cs="Arial"/>
          <w:lang w:eastAsia="ja-JP"/>
        </w:rPr>
        <w:t>]</w:t>
      </w:r>
      <w:r w:rsidR="00453265" w:rsidRPr="00550ADD">
        <w:rPr>
          <w:rFonts w:ascii="Arial" w:hAnsi="Arial" w:cs="Arial"/>
          <w:lang w:eastAsia="ja-JP"/>
        </w:rPr>
        <w:t xml:space="preserve"> RS sets</w:t>
      </w:r>
      <w:r w:rsidR="00DE075C" w:rsidRPr="00550ADD">
        <w:rPr>
          <w:rFonts w:ascii="Arial" w:hAnsi="Arial" w:cs="Arial"/>
          <w:lang w:eastAsia="ja-JP"/>
        </w:rPr>
        <w:t>)</w:t>
      </w:r>
      <w:r w:rsidRPr="00550ADD">
        <w:rPr>
          <w:rFonts w:ascii="Arial" w:hAnsi="Arial" w:cs="Arial"/>
          <w:lang w:eastAsia="ja-JP"/>
        </w:rPr>
        <w:t>,</w:t>
      </w:r>
      <w:r w:rsidR="001C7393" w:rsidRPr="00550ADD">
        <w:rPr>
          <w:rFonts w:ascii="Arial" w:hAnsi="Arial" w:cs="Arial"/>
          <w:lang w:eastAsia="ja-JP"/>
        </w:rPr>
        <w:t xml:space="preserve"> associated IDs</w:t>
      </w:r>
      <w:r w:rsidRPr="00550ADD">
        <w:rPr>
          <w:rFonts w:ascii="Arial" w:hAnsi="Arial" w:cs="Arial"/>
          <w:lang w:eastAsia="ja-JP"/>
        </w:rPr>
        <w:t>, and reporting type/configuration</w:t>
      </w:r>
      <w:r w:rsidR="00105B8C" w:rsidRPr="00550ADD">
        <w:rPr>
          <w:rFonts w:ascii="Arial" w:hAnsi="Arial" w:cs="Arial"/>
          <w:lang w:eastAsia="ja-JP"/>
        </w:rPr>
        <w:t xml:space="preserve">. </w:t>
      </w:r>
    </w:p>
    <w:p w14:paraId="7050A5C9" w14:textId="77777777" w:rsidR="00724C26" w:rsidRPr="00550ADD" w:rsidRDefault="00724C26" w:rsidP="008B39A8">
      <w:pPr>
        <w:pStyle w:val="BodyText"/>
        <w:spacing w:after="0"/>
        <w:jc w:val="left"/>
        <w:rPr>
          <w:rFonts w:ascii="Arial" w:hAnsi="Arial" w:cs="Arial"/>
          <w:lang w:eastAsia="ja-JP"/>
        </w:rPr>
      </w:pPr>
    </w:p>
    <w:p w14:paraId="73B11B0F" w14:textId="6DA20453" w:rsidR="000C4FEA" w:rsidRPr="00550ADD" w:rsidRDefault="007124CE" w:rsidP="008B39A8">
      <w:pPr>
        <w:pStyle w:val="BodyText"/>
        <w:spacing w:after="0"/>
        <w:jc w:val="left"/>
        <w:rPr>
          <w:rFonts w:ascii="Arial" w:hAnsi="Arial" w:cs="Arial"/>
          <w:b/>
          <w:bCs/>
          <w:lang w:eastAsia="ja-JP"/>
        </w:rPr>
      </w:pPr>
      <w:r w:rsidRPr="00550ADD">
        <w:rPr>
          <w:rFonts w:ascii="Arial" w:hAnsi="Arial" w:cs="Arial"/>
          <w:b/>
          <w:bCs/>
          <w:lang w:eastAsia="ja-JP"/>
        </w:rPr>
        <w:t xml:space="preserve">Observation </w:t>
      </w:r>
      <w:r w:rsidR="00724C26" w:rsidRPr="00550ADD">
        <w:rPr>
          <w:rFonts w:ascii="Arial" w:hAnsi="Arial" w:cs="Arial"/>
          <w:b/>
          <w:bCs/>
          <w:lang w:eastAsia="ja-JP"/>
        </w:rPr>
        <w:t>1</w:t>
      </w:r>
      <w:r w:rsidRPr="00550ADD">
        <w:rPr>
          <w:rFonts w:ascii="Arial" w:hAnsi="Arial" w:cs="Arial"/>
          <w:b/>
          <w:bCs/>
          <w:lang w:eastAsia="ja-JP"/>
        </w:rPr>
        <w:t>: To determine the applicability, the UE needs to check whether the UE has trained models for RS configurations (i.e., [set A, set B] RS sets</w:t>
      </w:r>
      <w:r w:rsidR="00DE075C" w:rsidRPr="00550ADD">
        <w:rPr>
          <w:rFonts w:ascii="Arial" w:hAnsi="Arial" w:cs="Arial"/>
          <w:b/>
          <w:bCs/>
          <w:lang w:eastAsia="ja-JP"/>
        </w:rPr>
        <w:t>)</w:t>
      </w:r>
      <w:r w:rsidR="00724C26" w:rsidRPr="00550ADD">
        <w:rPr>
          <w:rFonts w:ascii="Arial" w:hAnsi="Arial" w:cs="Arial"/>
          <w:b/>
          <w:bCs/>
          <w:lang w:eastAsia="ja-JP"/>
        </w:rPr>
        <w:t>,</w:t>
      </w:r>
      <w:r w:rsidRPr="00550ADD">
        <w:rPr>
          <w:rFonts w:ascii="Arial" w:hAnsi="Arial" w:cs="Arial"/>
          <w:b/>
          <w:bCs/>
          <w:lang w:eastAsia="ja-JP"/>
        </w:rPr>
        <w:t xml:space="preserve"> associated IDs</w:t>
      </w:r>
      <w:r w:rsidR="00724C26" w:rsidRPr="00550ADD">
        <w:rPr>
          <w:rFonts w:ascii="Arial" w:hAnsi="Arial" w:cs="Arial"/>
          <w:b/>
          <w:bCs/>
          <w:lang w:eastAsia="ja-JP"/>
        </w:rPr>
        <w:t>, and reporting type/configuration</w:t>
      </w:r>
      <w:r w:rsidRPr="00550ADD">
        <w:rPr>
          <w:rFonts w:ascii="Arial" w:hAnsi="Arial" w:cs="Arial"/>
          <w:b/>
          <w:bCs/>
          <w:lang w:eastAsia="ja-JP"/>
        </w:rPr>
        <w:t>.</w:t>
      </w:r>
    </w:p>
    <w:p w14:paraId="624D406A" w14:textId="77777777" w:rsidR="00724C26" w:rsidRPr="00550ADD" w:rsidRDefault="00724C26" w:rsidP="008B39A8">
      <w:pPr>
        <w:pStyle w:val="BodyText"/>
        <w:spacing w:after="0"/>
        <w:jc w:val="left"/>
        <w:rPr>
          <w:rFonts w:ascii="Arial" w:hAnsi="Arial" w:cs="Arial"/>
          <w:b/>
          <w:bCs/>
          <w:lang w:eastAsia="ja-JP"/>
        </w:rPr>
      </w:pPr>
    </w:p>
    <w:p w14:paraId="2CAC48B3" w14:textId="23BB6BB6" w:rsidR="56AF29AC" w:rsidRDefault="56AF29AC" w:rsidP="412A73EE">
      <w:pPr>
        <w:pStyle w:val="BodyText"/>
        <w:spacing w:after="0"/>
        <w:jc w:val="left"/>
        <w:rPr>
          <w:rFonts w:ascii="Arial" w:hAnsi="Arial" w:cs="Arial"/>
          <w:lang w:eastAsia="ja-JP"/>
        </w:rPr>
      </w:pPr>
      <w:r w:rsidRPr="412A73EE">
        <w:rPr>
          <w:rFonts w:ascii="Arial" w:hAnsi="Arial" w:cs="Arial"/>
          <w:lang w:eastAsia="ja-JP"/>
        </w:rPr>
        <w:t>The ongoing discussions present two ways to provide the inference related parameters (for applicability) or full inference configurations (for applicability and inference): either combined or in separate lists. The combined approach i</w:t>
      </w:r>
      <w:r w:rsidR="43FAADD4" w:rsidRPr="412A73EE">
        <w:rPr>
          <w:rFonts w:ascii="Arial" w:hAnsi="Arial" w:cs="Arial"/>
          <w:lang w:eastAsia="ja-JP"/>
        </w:rPr>
        <w:t>s advantageous for multiple reasons:</w:t>
      </w:r>
    </w:p>
    <w:p w14:paraId="2130A0F4" w14:textId="575B64C7" w:rsidR="43FAADD4" w:rsidRDefault="43FAADD4" w:rsidP="412A73EE">
      <w:pPr>
        <w:pStyle w:val="BodyText"/>
        <w:numPr>
          <w:ilvl w:val="0"/>
          <w:numId w:val="20"/>
        </w:numPr>
        <w:spacing w:after="0"/>
        <w:jc w:val="left"/>
        <w:rPr>
          <w:rFonts w:ascii="Arial" w:hAnsi="Arial" w:cs="Arial"/>
          <w:lang w:eastAsia="ja-JP"/>
        </w:rPr>
      </w:pPr>
      <w:r w:rsidRPr="412A73EE">
        <w:rPr>
          <w:rFonts w:ascii="Arial" w:hAnsi="Arial" w:cs="Arial"/>
          <w:lang w:eastAsia="ja-JP"/>
        </w:rPr>
        <w:t>T</w:t>
      </w:r>
      <w:r w:rsidR="56AF29AC" w:rsidRPr="412A73EE">
        <w:rPr>
          <w:rFonts w:ascii="Arial" w:hAnsi="Arial" w:cs="Arial"/>
          <w:lang w:eastAsia="ja-JP"/>
        </w:rPr>
        <w:t xml:space="preserve">he message </w:t>
      </w:r>
      <w:r w:rsidR="521078E4" w:rsidRPr="412A73EE">
        <w:rPr>
          <w:rFonts w:ascii="Arial" w:hAnsi="Arial" w:cs="Arial"/>
          <w:lang w:eastAsia="ja-JP"/>
        </w:rPr>
        <w:t>structure is simplified and reduced, as the same structures are not repeated in two places.</w:t>
      </w:r>
    </w:p>
    <w:p w14:paraId="0C795DEF" w14:textId="558C11EC" w:rsidR="521078E4" w:rsidRDefault="521078E4" w:rsidP="412A73EE">
      <w:pPr>
        <w:pStyle w:val="BodyText"/>
        <w:numPr>
          <w:ilvl w:val="0"/>
          <w:numId w:val="20"/>
        </w:numPr>
        <w:spacing w:after="0"/>
        <w:jc w:val="left"/>
        <w:rPr>
          <w:rFonts w:ascii="Arial" w:hAnsi="Arial" w:cs="Arial"/>
          <w:lang w:eastAsia="ja-JP"/>
        </w:rPr>
      </w:pPr>
      <w:r w:rsidRPr="412A73EE">
        <w:rPr>
          <w:rFonts w:ascii="Arial" w:hAnsi="Arial" w:cs="Arial"/>
          <w:lang w:eastAsia="ja-JP"/>
        </w:rPr>
        <w:t>The logic at the network and UE are simplified, as they do not have to synchronize the two lists, performing checks for duplication or conflict between them.</w:t>
      </w:r>
    </w:p>
    <w:p w14:paraId="5BBDB0B9" w14:textId="1B73836A" w:rsidR="521078E4" w:rsidRDefault="521078E4" w:rsidP="412A73EE">
      <w:pPr>
        <w:pStyle w:val="BodyText"/>
        <w:numPr>
          <w:ilvl w:val="0"/>
          <w:numId w:val="20"/>
        </w:numPr>
        <w:spacing w:after="0"/>
        <w:jc w:val="left"/>
        <w:rPr>
          <w:rFonts w:ascii="Arial" w:hAnsi="Arial" w:cs="Arial"/>
          <w:lang w:eastAsia="ja-JP"/>
        </w:rPr>
      </w:pPr>
      <w:r w:rsidRPr="412A73EE">
        <w:rPr>
          <w:rFonts w:ascii="Arial" w:hAnsi="Arial" w:cs="Arial"/>
          <w:lang w:eastAsia="ja-JP"/>
        </w:rPr>
        <w:t xml:space="preserve">The number of reconfigurations is potentially reduced, by allowing future optimized </w:t>
      </w:r>
      <w:proofErr w:type="spellStart"/>
      <w:r w:rsidRPr="412A73EE">
        <w:rPr>
          <w:rFonts w:ascii="Arial" w:hAnsi="Arial" w:cs="Arial"/>
          <w:lang w:eastAsia="ja-JP"/>
        </w:rPr>
        <w:t>signalling</w:t>
      </w:r>
      <w:proofErr w:type="spellEnd"/>
      <w:r w:rsidRPr="412A73EE">
        <w:rPr>
          <w:rFonts w:ascii="Arial" w:hAnsi="Arial" w:cs="Arial"/>
          <w:lang w:eastAsia="ja-JP"/>
        </w:rPr>
        <w:t xml:space="preserve"> to move a resource between the two states without sending a full reconfiguration.</w:t>
      </w:r>
    </w:p>
    <w:p w14:paraId="6EDECDB8" w14:textId="219414C2" w:rsidR="412A73EE" w:rsidRDefault="412A73EE" w:rsidP="412A73EE">
      <w:pPr>
        <w:pStyle w:val="BodyText"/>
        <w:spacing w:after="0"/>
        <w:jc w:val="left"/>
        <w:rPr>
          <w:rFonts w:ascii="Arial" w:hAnsi="Arial" w:cs="Arial"/>
          <w:lang w:eastAsia="ja-JP"/>
        </w:rPr>
      </w:pPr>
    </w:p>
    <w:p w14:paraId="1929C05D" w14:textId="3217055A" w:rsidR="002D2978" w:rsidRDefault="221991CF" w:rsidP="008B39A8">
      <w:pPr>
        <w:pStyle w:val="BodyText"/>
        <w:spacing w:after="0"/>
        <w:jc w:val="left"/>
        <w:rPr>
          <w:rFonts w:ascii="Arial" w:hAnsi="Arial" w:cs="Arial"/>
          <w:lang w:eastAsia="ja-JP"/>
        </w:rPr>
      </w:pPr>
      <w:r w:rsidRPr="412A73EE">
        <w:rPr>
          <w:rFonts w:ascii="Arial" w:hAnsi="Arial" w:cs="Arial"/>
          <w:lang w:eastAsia="ja-JP"/>
        </w:rPr>
        <w:t>Thus, to</w:t>
      </w:r>
      <w:r w:rsidR="00D448E6" w:rsidRPr="00550ADD">
        <w:rPr>
          <w:rFonts w:ascii="Arial" w:hAnsi="Arial" w:cs="Arial"/>
          <w:lang w:eastAsia="ja-JP"/>
        </w:rPr>
        <w:t xml:space="preserve"> simplify the </w:t>
      </w:r>
      <w:r w:rsidR="6798ED4A" w:rsidRPr="412A73EE">
        <w:rPr>
          <w:rFonts w:ascii="Arial" w:hAnsi="Arial" w:cs="Arial"/>
          <w:lang w:eastAsia="ja-JP"/>
        </w:rPr>
        <w:t xml:space="preserve">standard and </w:t>
      </w:r>
      <w:r w:rsidR="00D448E6" w:rsidRPr="412A73EE">
        <w:rPr>
          <w:rFonts w:ascii="Arial" w:hAnsi="Arial" w:cs="Arial"/>
          <w:lang w:eastAsia="ja-JP"/>
        </w:rPr>
        <w:t xml:space="preserve">UE </w:t>
      </w:r>
      <w:r w:rsidR="564D1526" w:rsidRPr="412A73EE">
        <w:rPr>
          <w:rFonts w:ascii="Arial" w:hAnsi="Arial" w:cs="Arial"/>
          <w:lang w:eastAsia="ja-JP"/>
        </w:rPr>
        <w:t xml:space="preserve">and NW </w:t>
      </w:r>
      <w:r w:rsidR="00D448E6" w:rsidRPr="412A73EE">
        <w:rPr>
          <w:rFonts w:ascii="Arial" w:hAnsi="Arial" w:cs="Arial"/>
          <w:lang w:eastAsia="ja-JP"/>
        </w:rPr>
        <w:t>implementation</w:t>
      </w:r>
      <w:r w:rsidR="15F30149" w:rsidRPr="412A73EE">
        <w:rPr>
          <w:rFonts w:ascii="Arial" w:hAnsi="Arial" w:cs="Arial"/>
          <w:lang w:eastAsia="ja-JP"/>
        </w:rPr>
        <w:t>s</w:t>
      </w:r>
      <w:r w:rsidR="00D448E6" w:rsidRPr="00550ADD">
        <w:rPr>
          <w:rFonts w:ascii="Arial" w:hAnsi="Arial" w:cs="Arial"/>
          <w:lang w:eastAsia="ja-JP"/>
        </w:rPr>
        <w:t xml:space="preserve">, RAN2 should conclude on a common solution for configuring UE with inference related parameters (for applicability) or full inference configurations (for applicability and inference). </w:t>
      </w:r>
    </w:p>
    <w:p w14:paraId="3DC84984" w14:textId="77777777" w:rsidR="00F9309C" w:rsidRPr="00550ADD" w:rsidRDefault="00F9309C" w:rsidP="008B39A8">
      <w:pPr>
        <w:pStyle w:val="BodyText"/>
        <w:spacing w:after="0"/>
        <w:jc w:val="left"/>
        <w:rPr>
          <w:rFonts w:ascii="Arial" w:hAnsi="Arial" w:cs="Arial"/>
          <w:lang w:eastAsia="ja-JP"/>
        </w:rPr>
      </w:pPr>
    </w:p>
    <w:p w14:paraId="31705BF3" w14:textId="6054BE81" w:rsidR="00724C26" w:rsidRPr="00550ADD" w:rsidRDefault="002D2978" w:rsidP="008B39A8">
      <w:pPr>
        <w:pStyle w:val="BodyText"/>
        <w:spacing w:after="0"/>
        <w:jc w:val="left"/>
        <w:rPr>
          <w:rFonts w:ascii="Arial" w:hAnsi="Arial" w:cs="Arial"/>
          <w:b/>
          <w:bCs/>
          <w:lang w:eastAsia="ja-JP"/>
        </w:rPr>
      </w:pPr>
      <w:r w:rsidRPr="00550ADD">
        <w:rPr>
          <w:rFonts w:ascii="Arial" w:hAnsi="Arial" w:cs="Arial"/>
          <w:b/>
          <w:bCs/>
          <w:lang w:eastAsia="ja-JP"/>
        </w:rPr>
        <w:t xml:space="preserve">Proposal 1:  To simplify the </w:t>
      </w:r>
      <w:r w:rsidR="03FD7A09" w:rsidRPr="412A73EE">
        <w:rPr>
          <w:rFonts w:ascii="Arial" w:hAnsi="Arial" w:cs="Arial"/>
          <w:b/>
          <w:bCs/>
          <w:lang w:eastAsia="ja-JP"/>
        </w:rPr>
        <w:t>standard and</w:t>
      </w:r>
      <w:r w:rsidRPr="412A73EE">
        <w:rPr>
          <w:rFonts w:ascii="Arial" w:hAnsi="Arial" w:cs="Arial"/>
          <w:b/>
          <w:bCs/>
          <w:lang w:eastAsia="ja-JP"/>
        </w:rPr>
        <w:t xml:space="preserve"> </w:t>
      </w:r>
      <w:r w:rsidRPr="00550ADD">
        <w:rPr>
          <w:rFonts w:ascii="Arial" w:hAnsi="Arial" w:cs="Arial"/>
          <w:b/>
          <w:bCs/>
          <w:lang w:eastAsia="ja-JP"/>
        </w:rPr>
        <w:t xml:space="preserve">UE </w:t>
      </w:r>
      <w:r w:rsidR="54704FA6" w:rsidRPr="412A73EE">
        <w:rPr>
          <w:rFonts w:ascii="Arial" w:hAnsi="Arial" w:cs="Arial"/>
          <w:b/>
          <w:bCs/>
          <w:lang w:eastAsia="ja-JP"/>
        </w:rPr>
        <w:t xml:space="preserve">and NW </w:t>
      </w:r>
      <w:r w:rsidRPr="412A73EE">
        <w:rPr>
          <w:rFonts w:ascii="Arial" w:hAnsi="Arial" w:cs="Arial"/>
          <w:b/>
          <w:bCs/>
          <w:lang w:eastAsia="ja-JP"/>
        </w:rPr>
        <w:t>implementation</w:t>
      </w:r>
      <w:r w:rsidR="792F663B" w:rsidRPr="412A73EE">
        <w:rPr>
          <w:rFonts w:ascii="Arial" w:hAnsi="Arial" w:cs="Arial"/>
          <w:b/>
          <w:bCs/>
          <w:lang w:eastAsia="ja-JP"/>
        </w:rPr>
        <w:t>s</w:t>
      </w:r>
      <w:r w:rsidRPr="00550ADD">
        <w:rPr>
          <w:rFonts w:ascii="Arial" w:hAnsi="Arial" w:cs="Arial"/>
          <w:b/>
          <w:bCs/>
          <w:lang w:eastAsia="ja-JP"/>
        </w:rPr>
        <w:t>, RAN2 should conclude on a common solution for configuring UE with inference related parameters (for applicability) or full inference configurations (for applicability and inference).</w:t>
      </w:r>
    </w:p>
    <w:p w14:paraId="734BA2F3" w14:textId="77777777" w:rsidR="002D2978" w:rsidRPr="00550ADD" w:rsidRDefault="002D2978" w:rsidP="008B39A8">
      <w:pPr>
        <w:pStyle w:val="BodyText"/>
        <w:spacing w:after="0"/>
        <w:jc w:val="left"/>
        <w:rPr>
          <w:rFonts w:ascii="Arial" w:hAnsi="Arial" w:cs="Arial"/>
          <w:b/>
          <w:bCs/>
          <w:lang w:eastAsia="ja-JP"/>
        </w:rPr>
      </w:pPr>
    </w:p>
    <w:p w14:paraId="22138C1B" w14:textId="085766D3" w:rsidR="00796E91" w:rsidRPr="00550ADD" w:rsidRDefault="00796E91" w:rsidP="00796E91">
      <w:pPr>
        <w:pStyle w:val="BodyText"/>
        <w:jc w:val="left"/>
        <w:outlineLvl w:val="2"/>
        <w:rPr>
          <w:rFonts w:ascii="Arial" w:hAnsi="Arial" w:cs="Arial"/>
          <w:b/>
          <w:bCs/>
          <w:lang w:eastAsia="ja-JP"/>
        </w:rPr>
      </w:pPr>
      <w:r w:rsidRPr="00550ADD">
        <w:rPr>
          <w:rFonts w:ascii="Arial" w:hAnsi="Arial" w:cs="Arial"/>
          <w:b/>
          <w:bCs/>
          <w:lang w:eastAsia="ja-JP"/>
        </w:rPr>
        <w:t>2.1.2 Handling of non-applicable periodic CSI-</w:t>
      </w:r>
      <w:proofErr w:type="spellStart"/>
      <w:r w:rsidRPr="00550ADD">
        <w:rPr>
          <w:rFonts w:ascii="Arial" w:hAnsi="Arial" w:cs="Arial"/>
          <w:b/>
          <w:bCs/>
          <w:lang w:eastAsia="ja-JP"/>
        </w:rPr>
        <w:t>ReportConfig</w:t>
      </w:r>
      <w:proofErr w:type="spellEnd"/>
      <w:r w:rsidRPr="00550ADD">
        <w:rPr>
          <w:rFonts w:ascii="Arial" w:hAnsi="Arial" w:cs="Arial"/>
          <w:b/>
          <w:bCs/>
          <w:lang w:eastAsia="ja-JP"/>
        </w:rPr>
        <w:t xml:space="preserve"> containing inference configuration  </w:t>
      </w:r>
    </w:p>
    <w:p w14:paraId="13596C1D" w14:textId="77777777" w:rsidR="00796E91" w:rsidRPr="00550ADD" w:rsidRDefault="00796E91" w:rsidP="00796E91">
      <w:pPr>
        <w:pStyle w:val="Agreement"/>
        <w:numPr>
          <w:ilvl w:val="0"/>
          <w:numId w:val="0"/>
        </w:numPr>
        <w:spacing w:before="0"/>
        <w:rPr>
          <w:rFonts w:cs="Arial"/>
          <w:b w:val="0"/>
          <w:bCs/>
        </w:rPr>
      </w:pPr>
      <w:r w:rsidRPr="00550ADD">
        <w:rPr>
          <w:rFonts w:cs="Arial"/>
          <w:b w:val="0"/>
          <w:bCs/>
        </w:rPr>
        <w:t>In RAN2#129 meeting [4], RAN2 agreed on following for periodic CSI-</w:t>
      </w:r>
      <w:proofErr w:type="spellStart"/>
      <w:r w:rsidRPr="00550ADD">
        <w:rPr>
          <w:rFonts w:cs="Arial"/>
          <w:b w:val="0"/>
          <w:bCs/>
        </w:rPr>
        <w:t>ReportConfigs</w:t>
      </w:r>
      <w:proofErr w:type="spellEnd"/>
      <w:r w:rsidRPr="00550ADD">
        <w:rPr>
          <w:rFonts w:cs="Arial"/>
          <w:b w:val="0"/>
          <w:bCs/>
        </w:rPr>
        <w:t xml:space="preserve"> </w:t>
      </w:r>
    </w:p>
    <w:p w14:paraId="4376BB90" w14:textId="77777777" w:rsidR="00796E91" w:rsidRPr="00550ADD" w:rsidRDefault="00796E91" w:rsidP="00796E91">
      <w:pPr>
        <w:pStyle w:val="Agreement"/>
        <w:numPr>
          <w:ilvl w:val="0"/>
          <w:numId w:val="0"/>
        </w:numPr>
        <w:spacing w:before="0"/>
        <w:rPr>
          <w:rFonts w:cs="Arial"/>
          <w:b w:val="0"/>
          <w:bCs/>
        </w:rPr>
      </w:pPr>
    </w:p>
    <w:p w14:paraId="0AFE34F2" w14:textId="77777777" w:rsidR="00550ADD" w:rsidRPr="00550ADD" w:rsidRDefault="00550ADD" w:rsidP="00550ADD">
      <w:pPr>
        <w:pStyle w:val="Agreement"/>
        <w:ind w:left="360"/>
        <w:rPr>
          <w:rFonts w:cs="Arial"/>
          <w:b w:val="0"/>
          <w:bCs/>
        </w:rPr>
      </w:pPr>
      <w:r w:rsidRPr="00550ADD">
        <w:rPr>
          <w:rFonts w:cs="Arial"/>
          <w:b w:val="0"/>
          <w:bCs/>
        </w:rPr>
        <w:t xml:space="preserve">If option A is configured in Step 3, for periodic CSI reporting, the UE autonomously activate the applicable functionalities upon reporting applicable functionalities via RRCReconfigurationComplete in step 4 (i.e. without need to wait RRCReconfiguration in Step 5).   </w:t>
      </w:r>
    </w:p>
    <w:p w14:paraId="5763E9E1" w14:textId="77777777" w:rsidR="00550ADD" w:rsidRPr="00550ADD" w:rsidRDefault="00550ADD" w:rsidP="00796E91">
      <w:pPr>
        <w:pStyle w:val="Agreement"/>
        <w:numPr>
          <w:ilvl w:val="0"/>
          <w:numId w:val="0"/>
        </w:numPr>
        <w:spacing w:before="0"/>
        <w:rPr>
          <w:rFonts w:cs="Arial"/>
          <w:b w:val="0"/>
          <w:bCs/>
        </w:rPr>
      </w:pPr>
    </w:p>
    <w:p w14:paraId="2B6672ED" w14:textId="248E236C" w:rsidR="00550ADD" w:rsidRPr="00550ADD" w:rsidRDefault="00550ADD" w:rsidP="00796E91">
      <w:pPr>
        <w:pStyle w:val="Agreement"/>
        <w:numPr>
          <w:ilvl w:val="0"/>
          <w:numId w:val="0"/>
        </w:numPr>
        <w:spacing w:before="0"/>
        <w:rPr>
          <w:rFonts w:cs="Arial"/>
          <w:b w:val="0"/>
          <w:bCs/>
        </w:rPr>
      </w:pPr>
      <w:r w:rsidRPr="00550ADD">
        <w:rPr>
          <w:rFonts w:cs="Arial"/>
          <w:b w:val="0"/>
          <w:bCs/>
        </w:rPr>
        <w:t xml:space="preserve">UE </w:t>
      </w:r>
      <w:proofErr w:type="spellStart"/>
      <w:r>
        <w:rPr>
          <w:rFonts w:cs="Arial"/>
          <w:b w:val="0"/>
          <w:bCs/>
        </w:rPr>
        <w:t>behavior</w:t>
      </w:r>
      <w:proofErr w:type="spellEnd"/>
      <w:r w:rsidRPr="00550ADD">
        <w:rPr>
          <w:rFonts w:cs="Arial"/>
          <w:b w:val="0"/>
          <w:bCs/>
        </w:rPr>
        <w:t xml:space="preserve"> for non-applicable periodic CSI-</w:t>
      </w:r>
      <w:proofErr w:type="spellStart"/>
      <w:r w:rsidRPr="00550ADD">
        <w:rPr>
          <w:rFonts w:cs="Arial"/>
          <w:b w:val="0"/>
          <w:bCs/>
        </w:rPr>
        <w:t>ReportConfig</w:t>
      </w:r>
      <w:proofErr w:type="spellEnd"/>
      <w:r w:rsidRPr="00550ADD">
        <w:rPr>
          <w:rFonts w:cs="Arial"/>
          <w:b w:val="0"/>
          <w:bCs/>
        </w:rPr>
        <w:t xml:space="preserve"> is not clear, i.e., what is UE expected to do if periodic CSI-</w:t>
      </w:r>
      <w:proofErr w:type="spellStart"/>
      <w:r w:rsidRPr="00550ADD">
        <w:rPr>
          <w:rFonts w:cs="Arial"/>
          <w:b w:val="0"/>
          <w:bCs/>
        </w:rPr>
        <w:t>ReportConfig</w:t>
      </w:r>
      <w:proofErr w:type="spellEnd"/>
      <w:r w:rsidRPr="00550ADD">
        <w:rPr>
          <w:rFonts w:cs="Arial"/>
          <w:b w:val="0"/>
          <w:bCs/>
        </w:rPr>
        <w:t xml:space="preserve"> is not applicable at the time of sending RRCReconfigurationComplete? Due to limited memory at the UE, downloading the required model may be required in most </w:t>
      </w:r>
      <w:r>
        <w:rPr>
          <w:rFonts w:cs="Arial"/>
          <w:b w:val="0"/>
          <w:bCs/>
        </w:rPr>
        <w:t>cases</w:t>
      </w:r>
      <w:r w:rsidRPr="00550ADD">
        <w:rPr>
          <w:rFonts w:cs="Arial"/>
          <w:b w:val="0"/>
          <w:bCs/>
        </w:rPr>
        <w:t>. In such cases, if UE is not allowed to report the applicability of period CSI-</w:t>
      </w:r>
      <w:proofErr w:type="spellStart"/>
      <w:r w:rsidRPr="00550ADD">
        <w:rPr>
          <w:rFonts w:cs="Arial"/>
          <w:b w:val="0"/>
          <w:bCs/>
        </w:rPr>
        <w:t>ReportConfig</w:t>
      </w:r>
      <w:proofErr w:type="spellEnd"/>
      <w:r w:rsidRPr="00550ADD">
        <w:rPr>
          <w:rFonts w:cs="Arial"/>
          <w:b w:val="0"/>
          <w:bCs/>
        </w:rPr>
        <w:t xml:space="preserve"> later using UE Assistance Information, then configuring UE with CSI-</w:t>
      </w:r>
      <w:proofErr w:type="spellStart"/>
      <w:r w:rsidRPr="00550ADD">
        <w:rPr>
          <w:rFonts w:cs="Arial"/>
          <w:b w:val="0"/>
          <w:bCs/>
        </w:rPr>
        <w:t>ReportConfig</w:t>
      </w:r>
      <w:proofErr w:type="spellEnd"/>
      <w:r w:rsidRPr="00550ADD">
        <w:rPr>
          <w:rFonts w:cs="Arial"/>
          <w:b w:val="0"/>
          <w:bCs/>
        </w:rPr>
        <w:t xml:space="preserve"> may not be useful. </w:t>
      </w:r>
      <w:r>
        <w:rPr>
          <w:rFonts w:cs="Arial"/>
          <w:b w:val="0"/>
          <w:bCs/>
        </w:rPr>
        <w:t xml:space="preserve">Therefore, </w:t>
      </w:r>
      <w:r w:rsidR="00525939">
        <w:rPr>
          <w:rFonts w:cs="Arial"/>
          <w:b w:val="0"/>
          <w:bCs/>
        </w:rPr>
        <w:t>UE should be allowed to activate periodic CSI-</w:t>
      </w:r>
      <w:proofErr w:type="spellStart"/>
      <w:r w:rsidR="00525939">
        <w:rPr>
          <w:rFonts w:cs="Arial"/>
          <w:b w:val="0"/>
          <w:bCs/>
        </w:rPr>
        <w:t>ReportConfig</w:t>
      </w:r>
      <w:proofErr w:type="spellEnd"/>
      <w:r w:rsidR="00525939">
        <w:rPr>
          <w:rFonts w:cs="Arial"/>
          <w:b w:val="0"/>
          <w:bCs/>
        </w:rPr>
        <w:t xml:space="preserve"> and send its applicability in the UE Assistance Information,</w:t>
      </w:r>
      <w:r>
        <w:rPr>
          <w:rFonts w:cs="Arial"/>
          <w:b w:val="0"/>
          <w:bCs/>
        </w:rPr>
        <w:t xml:space="preserve"> when a periodic CSI-</w:t>
      </w:r>
      <w:proofErr w:type="spellStart"/>
      <w:r>
        <w:rPr>
          <w:rFonts w:cs="Arial"/>
          <w:b w:val="0"/>
          <w:bCs/>
        </w:rPr>
        <w:t>ReportConfig</w:t>
      </w:r>
      <w:proofErr w:type="spellEnd"/>
      <w:r>
        <w:rPr>
          <w:rFonts w:cs="Arial"/>
          <w:b w:val="0"/>
          <w:bCs/>
        </w:rPr>
        <w:t xml:space="preserve"> becomes applicable after sending RRCReconfigurationComplete containing applicability information, </w:t>
      </w:r>
    </w:p>
    <w:p w14:paraId="68086EF6" w14:textId="77777777" w:rsidR="00550ADD" w:rsidRPr="00550ADD" w:rsidRDefault="00550ADD" w:rsidP="00796E91">
      <w:pPr>
        <w:pStyle w:val="Agreement"/>
        <w:numPr>
          <w:ilvl w:val="0"/>
          <w:numId w:val="0"/>
        </w:numPr>
        <w:spacing w:before="0"/>
        <w:rPr>
          <w:rFonts w:cs="Arial"/>
          <w:b w:val="0"/>
          <w:bCs/>
        </w:rPr>
      </w:pPr>
    </w:p>
    <w:p w14:paraId="7D82E837" w14:textId="62C5CB0A" w:rsidR="00796E91" w:rsidRPr="00525939" w:rsidRDefault="00550ADD" w:rsidP="00796E91">
      <w:pPr>
        <w:pStyle w:val="Agreement"/>
        <w:numPr>
          <w:ilvl w:val="0"/>
          <w:numId w:val="0"/>
        </w:numPr>
        <w:spacing w:before="0"/>
        <w:rPr>
          <w:rFonts w:cs="Arial"/>
        </w:rPr>
      </w:pPr>
      <w:r w:rsidRPr="00525939">
        <w:rPr>
          <w:rFonts w:cs="Arial"/>
        </w:rPr>
        <w:t>Observation</w:t>
      </w:r>
      <w:r w:rsidR="00525939">
        <w:rPr>
          <w:rFonts w:cs="Arial"/>
        </w:rPr>
        <w:t xml:space="preserve"> </w:t>
      </w:r>
      <w:r w:rsidR="00143B6E">
        <w:rPr>
          <w:rFonts w:cs="Arial"/>
        </w:rPr>
        <w:t>2</w:t>
      </w:r>
      <w:r w:rsidRPr="00525939">
        <w:rPr>
          <w:rFonts w:cs="Arial"/>
        </w:rPr>
        <w:t xml:space="preserve">:  UE </w:t>
      </w:r>
      <w:proofErr w:type="spellStart"/>
      <w:r w:rsidRPr="00525939">
        <w:rPr>
          <w:rFonts w:cs="Arial"/>
        </w:rPr>
        <w:t>behavior</w:t>
      </w:r>
      <w:proofErr w:type="spellEnd"/>
      <w:r w:rsidRPr="00525939">
        <w:rPr>
          <w:rFonts w:cs="Arial"/>
        </w:rPr>
        <w:t xml:space="preserve"> for non-applicable periodic CSI-</w:t>
      </w:r>
      <w:proofErr w:type="spellStart"/>
      <w:r w:rsidRPr="00525939">
        <w:rPr>
          <w:rFonts w:cs="Arial"/>
        </w:rPr>
        <w:t>ReportConfig</w:t>
      </w:r>
      <w:proofErr w:type="spellEnd"/>
      <w:r w:rsidRPr="00525939">
        <w:rPr>
          <w:rFonts w:cs="Arial"/>
        </w:rPr>
        <w:t xml:space="preserve"> is not clear, i.e., what is UE expected to do if periodic CSI-</w:t>
      </w:r>
      <w:proofErr w:type="spellStart"/>
      <w:r w:rsidRPr="00525939">
        <w:rPr>
          <w:rFonts w:cs="Arial"/>
        </w:rPr>
        <w:t>ReportConfig</w:t>
      </w:r>
      <w:proofErr w:type="spellEnd"/>
      <w:r w:rsidRPr="00525939">
        <w:rPr>
          <w:rFonts w:cs="Arial"/>
        </w:rPr>
        <w:t xml:space="preserve"> is not applicable at the time of sending RRCReconfigurationComplete? </w:t>
      </w:r>
    </w:p>
    <w:p w14:paraId="218FDC6B" w14:textId="77777777" w:rsidR="00550ADD" w:rsidRPr="00525939" w:rsidRDefault="00550ADD" w:rsidP="00550ADD">
      <w:pPr>
        <w:rPr>
          <w:rFonts w:ascii="Arial" w:hAnsi="Arial" w:cs="Arial"/>
          <w:b/>
          <w:lang w:val="en-GB" w:eastAsia="en-GB"/>
        </w:rPr>
      </w:pPr>
    </w:p>
    <w:p w14:paraId="6E6FF1DE" w14:textId="7B296710" w:rsidR="00550ADD" w:rsidRPr="00525939" w:rsidRDefault="00550ADD" w:rsidP="00550ADD">
      <w:pPr>
        <w:rPr>
          <w:rFonts w:ascii="Arial" w:hAnsi="Arial" w:cs="Arial"/>
          <w:b/>
        </w:rPr>
      </w:pPr>
      <w:r w:rsidRPr="00525939">
        <w:rPr>
          <w:rFonts w:ascii="Arial" w:hAnsi="Arial" w:cs="Arial"/>
          <w:b/>
          <w:lang w:val="en-GB" w:eastAsia="en-GB"/>
        </w:rPr>
        <w:t>Observation</w:t>
      </w:r>
      <w:r w:rsidR="00525939">
        <w:rPr>
          <w:rFonts w:ascii="Arial" w:hAnsi="Arial" w:cs="Arial"/>
          <w:b/>
          <w:lang w:val="en-GB" w:eastAsia="en-GB"/>
        </w:rPr>
        <w:t xml:space="preserve"> </w:t>
      </w:r>
      <w:r w:rsidR="00143B6E">
        <w:rPr>
          <w:rFonts w:ascii="Arial" w:hAnsi="Arial" w:cs="Arial"/>
          <w:b/>
          <w:lang w:val="en-GB" w:eastAsia="en-GB"/>
        </w:rPr>
        <w:t>3</w:t>
      </w:r>
      <w:r w:rsidRPr="00525939">
        <w:rPr>
          <w:rFonts w:ascii="Arial" w:hAnsi="Arial" w:cs="Arial"/>
          <w:b/>
          <w:lang w:val="en-GB" w:eastAsia="en-GB"/>
        </w:rPr>
        <w:t xml:space="preserve">: </w:t>
      </w:r>
      <w:r w:rsidRPr="00525939">
        <w:rPr>
          <w:rFonts w:ascii="Arial" w:hAnsi="Arial" w:cs="Arial"/>
          <w:b/>
        </w:rPr>
        <w:t>Due to limited memory at the UE, downloading the required model may be required in most cases. In such cases, if UE is not allowed to report the applicability of period CSI-</w:t>
      </w:r>
      <w:proofErr w:type="spellStart"/>
      <w:r w:rsidRPr="00525939">
        <w:rPr>
          <w:rFonts w:ascii="Arial" w:hAnsi="Arial" w:cs="Arial"/>
          <w:b/>
        </w:rPr>
        <w:t>ReportConfig</w:t>
      </w:r>
      <w:proofErr w:type="spellEnd"/>
      <w:r w:rsidRPr="00525939">
        <w:rPr>
          <w:rFonts w:ascii="Arial" w:hAnsi="Arial" w:cs="Arial"/>
          <w:b/>
        </w:rPr>
        <w:t xml:space="preserve"> later using UE Assistance Information, then configuring UE with CSI-</w:t>
      </w:r>
      <w:proofErr w:type="spellStart"/>
      <w:r w:rsidRPr="00525939">
        <w:rPr>
          <w:rFonts w:ascii="Arial" w:hAnsi="Arial" w:cs="Arial"/>
          <w:b/>
        </w:rPr>
        <w:t>ReportConfig</w:t>
      </w:r>
      <w:proofErr w:type="spellEnd"/>
      <w:r w:rsidRPr="00525939">
        <w:rPr>
          <w:rFonts w:ascii="Arial" w:hAnsi="Arial" w:cs="Arial"/>
          <w:b/>
        </w:rPr>
        <w:t xml:space="preserve"> may not be useful. </w:t>
      </w:r>
    </w:p>
    <w:p w14:paraId="48AA840E" w14:textId="77777777" w:rsidR="00525939" w:rsidRDefault="00525939" w:rsidP="00550ADD">
      <w:pPr>
        <w:rPr>
          <w:rFonts w:ascii="Arial" w:hAnsi="Arial" w:cs="Arial"/>
          <w:b/>
          <w:bCs/>
        </w:rPr>
      </w:pPr>
    </w:p>
    <w:p w14:paraId="14028DBB" w14:textId="69F48CEB" w:rsidR="00525939" w:rsidRPr="00525939" w:rsidRDefault="00525939" w:rsidP="00550ADD">
      <w:pPr>
        <w:rPr>
          <w:rFonts w:ascii="Arial" w:hAnsi="Arial" w:cs="Arial"/>
          <w:lang w:val="en-GB" w:eastAsia="en-GB"/>
        </w:rPr>
      </w:pPr>
      <w:r w:rsidRPr="00525939">
        <w:rPr>
          <w:rFonts w:ascii="Arial" w:hAnsi="Arial" w:cs="Arial"/>
          <w:b/>
          <w:bCs/>
        </w:rPr>
        <w:t xml:space="preserve">Proposal </w:t>
      </w:r>
      <w:r w:rsidR="00143B6E">
        <w:rPr>
          <w:rFonts w:ascii="Arial" w:hAnsi="Arial" w:cs="Arial"/>
          <w:b/>
          <w:bCs/>
        </w:rPr>
        <w:t>2</w:t>
      </w:r>
      <w:r w:rsidRPr="00525939">
        <w:rPr>
          <w:rFonts w:ascii="Arial" w:hAnsi="Arial" w:cs="Arial"/>
          <w:b/>
          <w:bCs/>
        </w:rPr>
        <w:t xml:space="preserve">: </w:t>
      </w:r>
      <w:r w:rsidR="3D91F5E4" w:rsidRPr="6BB0BBE8">
        <w:rPr>
          <w:rFonts w:ascii="Arial" w:hAnsi="Arial" w:cs="Arial"/>
          <w:b/>
          <w:bCs/>
        </w:rPr>
        <w:t xml:space="preserve">The </w:t>
      </w:r>
      <w:r w:rsidRPr="6BB0BBE8">
        <w:rPr>
          <w:rFonts w:ascii="Arial" w:hAnsi="Arial" w:cs="Arial"/>
          <w:b/>
          <w:bCs/>
        </w:rPr>
        <w:t xml:space="preserve">UE </w:t>
      </w:r>
      <w:r w:rsidR="7BCB5FED" w:rsidRPr="6BB0BBE8">
        <w:rPr>
          <w:rFonts w:ascii="Arial" w:hAnsi="Arial" w:cs="Arial"/>
          <w:b/>
          <w:bCs/>
        </w:rPr>
        <w:t>shall</w:t>
      </w:r>
      <w:r w:rsidRPr="00525939">
        <w:rPr>
          <w:rFonts w:ascii="Arial" w:hAnsi="Arial" w:cs="Arial"/>
          <w:b/>
          <w:bCs/>
        </w:rPr>
        <w:t xml:space="preserve"> </w:t>
      </w:r>
      <w:r w:rsidR="00F54E97">
        <w:rPr>
          <w:rFonts w:ascii="Arial" w:hAnsi="Arial" w:cs="Arial"/>
          <w:b/>
          <w:bCs/>
        </w:rPr>
        <w:t xml:space="preserve">autonomously </w:t>
      </w:r>
      <w:r w:rsidRPr="00525939">
        <w:rPr>
          <w:rFonts w:ascii="Arial" w:hAnsi="Arial" w:cs="Arial"/>
          <w:b/>
          <w:bCs/>
        </w:rPr>
        <w:t xml:space="preserve">activate </w:t>
      </w:r>
      <w:r w:rsidR="08646254" w:rsidRPr="6BB0BBE8">
        <w:rPr>
          <w:rFonts w:ascii="Arial" w:hAnsi="Arial" w:cs="Arial"/>
          <w:b/>
          <w:bCs/>
        </w:rPr>
        <w:t>a</w:t>
      </w:r>
      <w:r w:rsidR="002461C0">
        <w:rPr>
          <w:rFonts w:ascii="Arial" w:hAnsi="Arial" w:cs="Arial"/>
          <w:b/>
          <w:bCs/>
        </w:rPr>
        <w:t>pplicable</w:t>
      </w:r>
      <w:r w:rsidR="08646254" w:rsidRPr="6BB0BBE8">
        <w:rPr>
          <w:rFonts w:ascii="Arial" w:hAnsi="Arial" w:cs="Arial"/>
          <w:b/>
          <w:bCs/>
        </w:rPr>
        <w:t xml:space="preserve"> </w:t>
      </w:r>
      <w:r w:rsidRPr="00525939">
        <w:rPr>
          <w:rFonts w:ascii="Arial" w:hAnsi="Arial" w:cs="Arial"/>
          <w:b/>
          <w:bCs/>
        </w:rPr>
        <w:t>periodic CSI-</w:t>
      </w:r>
      <w:proofErr w:type="spellStart"/>
      <w:r w:rsidRPr="00525939">
        <w:rPr>
          <w:rFonts w:ascii="Arial" w:hAnsi="Arial" w:cs="Arial"/>
          <w:b/>
          <w:bCs/>
        </w:rPr>
        <w:t>ReportConfig</w:t>
      </w:r>
      <w:proofErr w:type="spellEnd"/>
      <w:r w:rsidRPr="00525939">
        <w:rPr>
          <w:rFonts w:ascii="Arial" w:hAnsi="Arial" w:cs="Arial"/>
          <w:b/>
          <w:bCs/>
        </w:rPr>
        <w:t xml:space="preserve"> </w:t>
      </w:r>
      <w:r w:rsidR="00132A11">
        <w:rPr>
          <w:rFonts w:ascii="Arial" w:hAnsi="Arial" w:cs="Arial"/>
          <w:b/>
          <w:bCs/>
        </w:rPr>
        <w:t>upon sending</w:t>
      </w:r>
      <w:r w:rsidRPr="00525939">
        <w:rPr>
          <w:rFonts w:ascii="Arial" w:hAnsi="Arial" w:cs="Arial"/>
          <w:b/>
          <w:bCs/>
        </w:rPr>
        <w:t xml:space="preserve"> the UE Assistance Information </w:t>
      </w:r>
      <w:r>
        <w:rPr>
          <w:rFonts w:ascii="Arial" w:hAnsi="Arial" w:cs="Arial"/>
          <w:b/>
          <w:bCs/>
        </w:rPr>
        <w:t>(</w:t>
      </w:r>
      <w:r w:rsidRPr="00525939">
        <w:rPr>
          <w:rFonts w:ascii="Arial" w:hAnsi="Arial" w:cs="Arial"/>
          <w:b/>
          <w:bCs/>
        </w:rPr>
        <w:t>when a periodic CSI-</w:t>
      </w:r>
      <w:proofErr w:type="spellStart"/>
      <w:r w:rsidRPr="00525939">
        <w:rPr>
          <w:rFonts w:ascii="Arial" w:hAnsi="Arial" w:cs="Arial"/>
          <w:b/>
          <w:bCs/>
        </w:rPr>
        <w:t>ReportConfig</w:t>
      </w:r>
      <w:proofErr w:type="spellEnd"/>
      <w:r w:rsidR="00166719">
        <w:rPr>
          <w:rFonts w:ascii="Arial" w:hAnsi="Arial" w:cs="Arial"/>
          <w:b/>
          <w:bCs/>
        </w:rPr>
        <w:t xml:space="preserve"> for inference</w:t>
      </w:r>
      <w:r w:rsidRPr="00525939">
        <w:rPr>
          <w:rFonts w:ascii="Arial" w:hAnsi="Arial" w:cs="Arial"/>
          <w:b/>
          <w:bCs/>
        </w:rPr>
        <w:t xml:space="preserve"> becomes applicable after sending </w:t>
      </w:r>
      <w:proofErr w:type="spellStart"/>
      <w:r w:rsidRPr="00525939">
        <w:rPr>
          <w:rFonts w:ascii="Arial" w:hAnsi="Arial" w:cs="Arial"/>
          <w:b/>
          <w:bCs/>
        </w:rPr>
        <w:t>RRCReconfigurationComplete</w:t>
      </w:r>
      <w:proofErr w:type="spellEnd"/>
      <w:r>
        <w:rPr>
          <w:rFonts w:ascii="Arial" w:hAnsi="Arial" w:cs="Arial"/>
          <w:b/>
          <w:bCs/>
        </w:rPr>
        <w:t>).</w:t>
      </w:r>
      <w:r w:rsidRPr="00525939">
        <w:rPr>
          <w:rFonts w:ascii="Arial" w:hAnsi="Arial" w:cs="Arial"/>
          <w:b/>
          <w:bCs/>
        </w:rPr>
        <w:t xml:space="preserve"> </w:t>
      </w:r>
    </w:p>
    <w:p w14:paraId="084889AE" w14:textId="77777777" w:rsidR="009E5F11" w:rsidRPr="00550ADD" w:rsidRDefault="009E5F11" w:rsidP="009E5F11">
      <w:pPr>
        <w:pStyle w:val="BodyText"/>
        <w:spacing w:after="0"/>
        <w:jc w:val="left"/>
        <w:rPr>
          <w:rFonts w:ascii="Arial" w:hAnsi="Arial" w:cs="Arial"/>
          <w:b/>
          <w:bCs/>
          <w:lang w:eastAsia="ja-JP"/>
        </w:rPr>
      </w:pPr>
    </w:p>
    <w:p w14:paraId="138D423B" w14:textId="654052D1" w:rsidR="002B6430" w:rsidRPr="00550ADD" w:rsidRDefault="002B6430" w:rsidP="00097684">
      <w:pPr>
        <w:pStyle w:val="BodyText"/>
        <w:jc w:val="left"/>
        <w:outlineLvl w:val="2"/>
        <w:rPr>
          <w:rFonts w:ascii="Arial" w:hAnsi="Arial" w:cs="Arial"/>
          <w:b/>
          <w:bCs/>
          <w:lang w:eastAsia="ja-JP"/>
        </w:rPr>
      </w:pPr>
      <w:r w:rsidRPr="00550ADD">
        <w:rPr>
          <w:rFonts w:ascii="Arial" w:hAnsi="Arial" w:cs="Arial"/>
          <w:b/>
          <w:bCs/>
          <w:lang w:eastAsia="ja-JP"/>
        </w:rPr>
        <w:t>2.1.</w:t>
      </w:r>
      <w:r w:rsidR="009E5F11" w:rsidRPr="00550ADD">
        <w:rPr>
          <w:rFonts w:ascii="Arial" w:hAnsi="Arial" w:cs="Arial"/>
          <w:b/>
          <w:bCs/>
          <w:lang w:eastAsia="ja-JP"/>
        </w:rPr>
        <w:t>3</w:t>
      </w:r>
      <w:r w:rsidRPr="00550ADD">
        <w:rPr>
          <w:rFonts w:ascii="Arial" w:hAnsi="Arial" w:cs="Arial"/>
          <w:b/>
          <w:bCs/>
          <w:lang w:eastAsia="ja-JP"/>
        </w:rPr>
        <w:t xml:space="preserve"> I</w:t>
      </w:r>
      <w:r w:rsidR="008107EF" w:rsidRPr="00550ADD">
        <w:rPr>
          <w:rFonts w:ascii="Arial" w:hAnsi="Arial" w:cs="Arial"/>
          <w:b/>
          <w:bCs/>
          <w:lang w:eastAsia="ja-JP"/>
        </w:rPr>
        <w:t>ndicating the cause of inapplicability</w:t>
      </w:r>
      <w:r w:rsidR="00097684" w:rsidRPr="00550ADD">
        <w:rPr>
          <w:rFonts w:ascii="Arial" w:hAnsi="Arial" w:cs="Arial"/>
          <w:b/>
          <w:bCs/>
          <w:lang w:eastAsia="ja-JP"/>
        </w:rPr>
        <w:t xml:space="preserve"> </w:t>
      </w:r>
    </w:p>
    <w:p w14:paraId="0F02AB6C" w14:textId="2D4B1814" w:rsidR="0017427F" w:rsidRPr="00525939" w:rsidRDefault="00B87456" w:rsidP="009E5F11">
      <w:pPr>
        <w:pStyle w:val="BodyText"/>
        <w:spacing w:after="0"/>
        <w:jc w:val="left"/>
        <w:rPr>
          <w:rFonts w:ascii="Arial" w:hAnsi="Arial" w:cs="Arial"/>
          <w:lang w:eastAsia="ja-JP"/>
        </w:rPr>
      </w:pPr>
      <w:r w:rsidRPr="00525939">
        <w:rPr>
          <w:rFonts w:ascii="Arial" w:hAnsi="Arial" w:cs="Arial"/>
          <w:lang w:eastAsia="ja-JP"/>
        </w:rPr>
        <w:t xml:space="preserve">In </w:t>
      </w:r>
      <w:r w:rsidR="001177DA" w:rsidRPr="00525939">
        <w:rPr>
          <w:rFonts w:ascii="Arial" w:hAnsi="Arial" w:cs="Arial"/>
          <w:lang w:eastAsia="ja-JP"/>
        </w:rPr>
        <w:t>RAN2</w:t>
      </w:r>
      <w:r w:rsidR="0017427F" w:rsidRPr="00525939">
        <w:rPr>
          <w:rFonts w:ascii="Arial" w:hAnsi="Arial" w:cs="Arial"/>
          <w:lang w:eastAsia="ja-JP"/>
        </w:rPr>
        <w:t>#12</w:t>
      </w:r>
      <w:r w:rsidR="00525939">
        <w:rPr>
          <w:rFonts w:ascii="Arial" w:hAnsi="Arial" w:cs="Arial"/>
          <w:lang w:eastAsia="ja-JP"/>
        </w:rPr>
        <w:t>7</w:t>
      </w:r>
      <w:r w:rsidR="0017427F" w:rsidRPr="00525939">
        <w:rPr>
          <w:rFonts w:ascii="Arial" w:hAnsi="Arial" w:cs="Arial"/>
          <w:lang w:eastAsia="ja-JP"/>
        </w:rPr>
        <w:t xml:space="preserve"> meeting [</w:t>
      </w:r>
      <w:r w:rsidR="00525939">
        <w:rPr>
          <w:rFonts w:ascii="Arial" w:hAnsi="Arial" w:cs="Arial"/>
          <w:lang w:eastAsia="ja-JP"/>
        </w:rPr>
        <w:t>5</w:t>
      </w:r>
      <w:r w:rsidR="0017427F" w:rsidRPr="00525939">
        <w:rPr>
          <w:rFonts w:ascii="Arial" w:hAnsi="Arial" w:cs="Arial"/>
          <w:lang w:eastAsia="ja-JP"/>
        </w:rPr>
        <w:t>], RAN2 agreed on the following</w:t>
      </w:r>
    </w:p>
    <w:p w14:paraId="23B61B4C" w14:textId="1528E438" w:rsidR="003203A8" w:rsidRPr="00525939" w:rsidRDefault="00525939" w:rsidP="00525939">
      <w:pPr>
        <w:pStyle w:val="ListParagraph"/>
        <w:numPr>
          <w:ilvl w:val="0"/>
          <w:numId w:val="19"/>
        </w:numPr>
        <w:rPr>
          <w:rFonts w:ascii="Arial" w:hAnsi="Arial" w:cs="Arial"/>
          <w:lang w:val="en-GB" w:eastAsia="en-GB"/>
        </w:rPr>
      </w:pPr>
      <w:r w:rsidRPr="00525939">
        <w:rPr>
          <w:rFonts w:ascii="Arial" w:hAnsi="Arial" w:cs="Arial"/>
        </w:rPr>
        <w:t xml:space="preserve">UE decides the applicable functionalities based on NW-side additional conditions (if provided), UE-side additional conditions (internally known by UE) and model availability in device. FFS whether other configuration can </w:t>
      </w:r>
      <w:proofErr w:type="gramStart"/>
      <w:r w:rsidRPr="00525939">
        <w:rPr>
          <w:rFonts w:ascii="Arial" w:hAnsi="Arial" w:cs="Arial"/>
        </w:rPr>
        <w:t>considered</w:t>
      </w:r>
      <w:proofErr w:type="gramEnd"/>
      <w:r w:rsidRPr="00525939">
        <w:rPr>
          <w:rFonts w:ascii="Arial" w:hAnsi="Arial" w:cs="Arial"/>
        </w:rPr>
        <w:t xml:space="preserve"> by UE (e.g. inference configuration).  </w:t>
      </w:r>
      <w:proofErr w:type="gramStart"/>
      <w:r w:rsidRPr="00525939">
        <w:rPr>
          <w:rFonts w:ascii="Arial" w:hAnsi="Arial" w:cs="Arial"/>
        </w:rPr>
        <w:t>FFS  how</w:t>
      </w:r>
      <w:proofErr w:type="gramEnd"/>
      <w:r w:rsidRPr="00525939">
        <w:rPr>
          <w:rFonts w:ascii="Arial" w:hAnsi="Arial" w:cs="Arial"/>
        </w:rPr>
        <w:t xml:space="preserve"> the applicable functionality is decided if NW-side additional condition is not provided in step 3.</w:t>
      </w:r>
      <w:r w:rsidRPr="00525939">
        <w:rPr>
          <w:rFonts w:ascii="Arial" w:hAnsi="Arial" w:cs="Arial"/>
          <w:i/>
          <w:iCs/>
        </w:rPr>
        <w:t xml:space="preserve">   </w:t>
      </w:r>
    </w:p>
    <w:p w14:paraId="70BE19D9" w14:textId="77777777" w:rsidR="00525939" w:rsidRPr="00525939" w:rsidRDefault="00525939" w:rsidP="00525939">
      <w:pPr>
        <w:rPr>
          <w:rFonts w:ascii="Arial" w:hAnsi="Arial" w:cs="Arial"/>
          <w:lang w:val="en-GB" w:eastAsia="en-GB"/>
        </w:rPr>
      </w:pPr>
    </w:p>
    <w:p w14:paraId="30638541" w14:textId="47C5B76B" w:rsidR="00525939" w:rsidRPr="00525939" w:rsidRDefault="00525939" w:rsidP="003203A8">
      <w:pPr>
        <w:rPr>
          <w:rFonts w:ascii="Arial" w:hAnsi="Arial" w:cs="Arial"/>
          <w:b/>
          <w:bCs/>
          <w:lang w:val="en-GB" w:eastAsia="en-GB"/>
        </w:rPr>
      </w:pPr>
      <w:r w:rsidRPr="00525939">
        <w:rPr>
          <w:rFonts w:ascii="Arial" w:hAnsi="Arial" w:cs="Arial"/>
          <w:b/>
          <w:bCs/>
          <w:lang w:val="en-GB" w:eastAsia="en-GB"/>
        </w:rPr>
        <w:t xml:space="preserve">Observation </w:t>
      </w:r>
      <w:r w:rsidR="002D1197">
        <w:rPr>
          <w:rFonts w:ascii="Arial" w:hAnsi="Arial" w:cs="Arial"/>
          <w:b/>
          <w:bCs/>
          <w:lang w:val="en-GB" w:eastAsia="en-GB"/>
        </w:rPr>
        <w:t>4</w:t>
      </w:r>
      <w:r w:rsidRPr="00525939">
        <w:rPr>
          <w:rFonts w:ascii="Arial" w:hAnsi="Arial" w:cs="Arial"/>
          <w:b/>
          <w:bCs/>
          <w:lang w:val="en-GB" w:eastAsia="en-GB"/>
        </w:rPr>
        <w:t xml:space="preserve">: In </w:t>
      </w:r>
      <w:r>
        <w:rPr>
          <w:rFonts w:ascii="Arial" w:hAnsi="Arial" w:cs="Arial"/>
          <w:b/>
          <w:bCs/>
          <w:lang w:val="en-GB" w:eastAsia="en-GB"/>
        </w:rPr>
        <w:t xml:space="preserve">the </w:t>
      </w:r>
      <w:r w:rsidRPr="00525939">
        <w:rPr>
          <w:rFonts w:ascii="Arial" w:hAnsi="Arial" w:cs="Arial"/>
          <w:b/>
          <w:bCs/>
          <w:lang w:val="en-GB" w:eastAsia="en-GB"/>
        </w:rPr>
        <w:t xml:space="preserve">RAN2#127 meeting RAN2 agreed that </w:t>
      </w:r>
      <w:r w:rsidRPr="00525939">
        <w:rPr>
          <w:rFonts w:ascii="Arial" w:hAnsi="Arial" w:cs="Arial"/>
          <w:b/>
          <w:bCs/>
        </w:rPr>
        <w:t>UE decides the applicable functionalities based on NW-side additional conditions (if provided), UE-side additional conditions (internally known by UE)</w:t>
      </w:r>
      <w:r>
        <w:rPr>
          <w:rFonts w:ascii="Arial" w:hAnsi="Arial" w:cs="Arial"/>
          <w:b/>
          <w:bCs/>
        </w:rPr>
        <w:t>,</w:t>
      </w:r>
      <w:r w:rsidRPr="00525939">
        <w:rPr>
          <w:rFonts w:ascii="Arial" w:hAnsi="Arial" w:cs="Arial"/>
          <w:b/>
          <w:bCs/>
        </w:rPr>
        <w:t xml:space="preserve"> and model availability in </w:t>
      </w:r>
      <w:r>
        <w:rPr>
          <w:rFonts w:ascii="Arial" w:hAnsi="Arial" w:cs="Arial"/>
          <w:b/>
          <w:bCs/>
        </w:rPr>
        <w:t xml:space="preserve">the </w:t>
      </w:r>
      <w:r w:rsidRPr="00525939">
        <w:rPr>
          <w:rFonts w:ascii="Arial" w:hAnsi="Arial" w:cs="Arial"/>
          <w:b/>
          <w:bCs/>
        </w:rPr>
        <w:t xml:space="preserve">device. How UE determines the </w:t>
      </w:r>
      <w:r>
        <w:rPr>
          <w:rFonts w:ascii="Arial" w:hAnsi="Arial" w:cs="Arial"/>
          <w:b/>
          <w:bCs/>
        </w:rPr>
        <w:t xml:space="preserve">applicability is left up to the UE implementation. </w:t>
      </w:r>
    </w:p>
    <w:p w14:paraId="1A1B5265" w14:textId="77777777" w:rsidR="00525939" w:rsidRDefault="00525939" w:rsidP="003203A8">
      <w:pPr>
        <w:rPr>
          <w:rFonts w:ascii="Arial" w:hAnsi="Arial" w:cs="Arial"/>
          <w:lang w:val="en-GB" w:eastAsia="en-GB"/>
        </w:rPr>
      </w:pPr>
    </w:p>
    <w:p w14:paraId="08131E93" w14:textId="19BD08AC" w:rsidR="00F30727" w:rsidRDefault="00F30727" w:rsidP="00480C4D">
      <w:pPr>
        <w:pStyle w:val="BodyText"/>
        <w:spacing w:after="0"/>
        <w:jc w:val="left"/>
        <w:rPr>
          <w:rFonts w:ascii="Arial" w:hAnsi="Arial" w:cs="Arial"/>
          <w:lang w:eastAsia="ja-JP"/>
        </w:rPr>
      </w:pPr>
      <w:r>
        <w:rPr>
          <w:rFonts w:ascii="Arial" w:hAnsi="Arial" w:cs="Arial"/>
          <w:lang w:eastAsia="ja-JP"/>
        </w:rPr>
        <w:t>When the UE or UE side does not have a trained model, the UE may not download the model for configured CSI-</w:t>
      </w:r>
      <w:proofErr w:type="spellStart"/>
      <w:r>
        <w:rPr>
          <w:rFonts w:ascii="Arial" w:hAnsi="Arial" w:cs="Arial"/>
          <w:lang w:eastAsia="ja-JP"/>
        </w:rPr>
        <w:t>ReportConfig</w:t>
      </w:r>
      <w:proofErr w:type="spellEnd"/>
      <w:r>
        <w:rPr>
          <w:rFonts w:ascii="Arial" w:hAnsi="Arial" w:cs="Arial"/>
          <w:lang w:eastAsia="ja-JP"/>
        </w:rPr>
        <w:t>. In another case, the UE or UE side can have a trained model for the configured CSI-</w:t>
      </w:r>
      <w:proofErr w:type="spellStart"/>
      <w:r>
        <w:rPr>
          <w:rFonts w:ascii="Arial" w:hAnsi="Arial" w:cs="Arial"/>
          <w:lang w:eastAsia="ja-JP"/>
        </w:rPr>
        <w:t>ReportConfig</w:t>
      </w:r>
      <w:proofErr w:type="spellEnd"/>
      <w:r>
        <w:rPr>
          <w:rFonts w:ascii="Arial" w:hAnsi="Arial" w:cs="Arial"/>
          <w:lang w:eastAsia="ja-JP"/>
        </w:rPr>
        <w:t>, but may not be available on the device. We are open to distinguishing the aforementioned two cases where the configured CSI-</w:t>
      </w:r>
      <w:proofErr w:type="spellStart"/>
      <w:r>
        <w:rPr>
          <w:rFonts w:ascii="Arial" w:hAnsi="Arial" w:cs="Arial"/>
          <w:lang w:eastAsia="ja-JP"/>
        </w:rPr>
        <w:t>ReportConfig</w:t>
      </w:r>
      <w:proofErr w:type="spellEnd"/>
      <w:r>
        <w:rPr>
          <w:rFonts w:ascii="Arial" w:hAnsi="Arial" w:cs="Arial"/>
          <w:lang w:eastAsia="ja-JP"/>
        </w:rPr>
        <w:t xml:space="preserve"> (containing inference config or inference related parameter set). Other information such as inapplicability due to memory, power, etc. </w:t>
      </w:r>
      <w:r w:rsidR="007C74C5">
        <w:rPr>
          <w:rFonts w:ascii="Arial" w:hAnsi="Arial" w:cs="Arial"/>
          <w:lang w:eastAsia="ja-JP"/>
        </w:rPr>
        <w:t xml:space="preserve">are </w:t>
      </w:r>
      <w:r>
        <w:rPr>
          <w:rFonts w:ascii="Arial" w:hAnsi="Arial" w:cs="Arial"/>
          <w:lang w:eastAsia="ja-JP"/>
        </w:rPr>
        <w:t xml:space="preserve">UE’s proprietary information and they are not required to be signaled. </w:t>
      </w:r>
    </w:p>
    <w:p w14:paraId="7625F72C" w14:textId="77777777" w:rsidR="00F30727" w:rsidRDefault="00F30727" w:rsidP="00480C4D">
      <w:pPr>
        <w:pStyle w:val="BodyText"/>
        <w:spacing w:after="0"/>
        <w:jc w:val="left"/>
        <w:rPr>
          <w:rFonts w:ascii="Arial" w:hAnsi="Arial" w:cs="Arial"/>
          <w:lang w:eastAsia="ja-JP"/>
        </w:rPr>
      </w:pPr>
    </w:p>
    <w:p w14:paraId="5748436E" w14:textId="071A6309" w:rsidR="00F30727" w:rsidRPr="00F30727" w:rsidRDefault="00F30727" w:rsidP="00480C4D">
      <w:pPr>
        <w:pStyle w:val="BodyText"/>
        <w:spacing w:after="0"/>
        <w:jc w:val="left"/>
        <w:rPr>
          <w:rFonts w:ascii="Arial" w:hAnsi="Arial" w:cs="Arial"/>
          <w:b/>
          <w:bCs/>
          <w:lang w:eastAsia="ja-JP"/>
        </w:rPr>
      </w:pPr>
      <w:r w:rsidRPr="00F30727">
        <w:rPr>
          <w:rFonts w:ascii="Arial" w:hAnsi="Arial" w:cs="Arial"/>
          <w:b/>
          <w:bCs/>
          <w:lang w:eastAsia="ja-JP"/>
        </w:rPr>
        <w:t xml:space="preserve">Proposal </w:t>
      </w:r>
      <w:r w:rsidR="002D1197">
        <w:rPr>
          <w:rFonts w:ascii="Arial" w:hAnsi="Arial" w:cs="Arial"/>
          <w:b/>
          <w:bCs/>
          <w:lang w:eastAsia="ja-JP"/>
        </w:rPr>
        <w:t>3</w:t>
      </w:r>
      <w:r w:rsidRPr="00F30727">
        <w:rPr>
          <w:rFonts w:ascii="Arial" w:hAnsi="Arial" w:cs="Arial"/>
          <w:b/>
          <w:bCs/>
          <w:lang w:eastAsia="ja-JP"/>
        </w:rPr>
        <w:t xml:space="preserve">: </w:t>
      </w:r>
      <w:r w:rsidR="3940446D" w:rsidRPr="6BB0BBE8">
        <w:rPr>
          <w:rFonts w:ascii="Arial" w:hAnsi="Arial" w:cs="Arial"/>
          <w:b/>
          <w:bCs/>
          <w:lang w:eastAsia="ja-JP"/>
        </w:rPr>
        <w:t xml:space="preserve">The </w:t>
      </w:r>
      <w:r w:rsidRPr="00F30727">
        <w:rPr>
          <w:rFonts w:ascii="Arial" w:hAnsi="Arial" w:cs="Arial"/>
          <w:b/>
          <w:bCs/>
          <w:lang w:eastAsia="ja-JP"/>
        </w:rPr>
        <w:t xml:space="preserve">UE </w:t>
      </w:r>
      <w:r w:rsidRPr="6BB0BBE8">
        <w:rPr>
          <w:rFonts w:ascii="Arial" w:hAnsi="Arial" w:cs="Arial"/>
          <w:b/>
          <w:bCs/>
          <w:lang w:eastAsia="ja-JP"/>
        </w:rPr>
        <w:t>indicate</w:t>
      </w:r>
      <w:r w:rsidR="1113C654" w:rsidRPr="6BB0BBE8">
        <w:rPr>
          <w:rFonts w:ascii="Arial" w:hAnsi="Arial" w:cs="Arial"/>
          <w:b/>
          <w:bCs/>
          <w:lang w:eastAsia="ja-JP"/>
        </w:rPr>
        <w:t>s</w:t>
      </w:r>
      <w:r w:rsidRPr="00F30727">
        <w:rPr>
          <w:rFonts w:ascii="Arial" w:hAnsi="Arial" w:cs="Arial"/>
          <w:b/>
          <w:bCs/>
          <w:lang w:eastAsia="ja-JP"/>
        </w:rPr>
        <w:t xml:space="preserve"> to the network the cause of inapplicability as </w:t>
      </w:r>
      <w:r w:rsidR="08730A47" w:rsidRPr="6BB0BBE8">
        <w:rPr>
          <w:rFonts w:ascii="Arial" w:hAnsi="Arial" w:cs="Arial"/>
          <w:b/>
          <w:bCs/>
          <w:lang w:eastAsia="ja-JP"/>
        </w:rPr>
        <w:t>either:</w:t>
      </w:r>
    </w:p>
    <w:p w14:paraId="454D4648" w14:textId="02F0A694" w:rsidR="009C7212" w:rsidRPr="00F30727" w:rsidRDefault="00F30727" w:rsidP="00F30727">
      <w:pPr>
        <w:pStyle w:val="BodyText"/>
        <w:numPr>
          <w:ilvl w:val="0"/>
          <w:numId w:val="19"/>
        </w:numPr>
        <w:spacing w:after="0"/>
        <w:jc w:val="left"/>
        <w:rPr>
          <w:rFonts w:ascii="Arial" w:hAnsi="Arial" w:cs="Arial"/>
          <w:b/>
          <w:bCs/>
          <w:lang w:eastAsia="ja-JP"/>
        </w:rPr>
      </w:pPr>
      <w:r w:rsidRPr="00F30727">
        <w:rPr>
          <w:rFonts w:ascii="Arial" w:hAnsi="Arial" w:cs="Arial"/>
          <w:b/>
          <w:bCs/>
          <w:lang w:eastAsia="ja-JP"/>
        </w:rPr>
        <w:t xml:space="preserve">Temporary inapplicable: </w:t>
      </w:r>
      <w:r w:rsidR="4808647E" w:rsidRPr="6BB0BBE8">
        <w:rPr>
          <w:rFonts w:ascii="Arial" w:hAnsi="Arial" w:cs="Arial"/>
          <w:b/>
          <w:bCs/>
          <w:lang w:eastAsia="ja-JP"/>
        </w:rPr>
        <w:t xml:space="preserve">For the case when </w:t>
      </w:r>
      <w:r w:rsidRPr="00F30727">
        <w:rPr>
          <w:rFonts w:ascii="Arial" w:hAnsi="Arial" w:cs="Arial"/>
          <w:b/>
          <w:bCs/>
          <w:lang w:eastAsia="ja-JP"/>
        </w:rPr>
        <w:t>the UE side has a trained model for the configured CSI-</w:t>
      </w:r>
      <w:proofErr w:type="spellStart"/>
      <w:r w:rsidRPr="00F30727">
        <w:rPr>
          <w:rFonts w:ascii="Arial" w:hAnsi="Arial" w:cs="Arial"/>
          <w:b/>
          <w:bCs/>
          <w:lang w:eastAsia="ja-JP"/>
        </w:rPr>
        <w:t>ReportConfig</w:t>
      </w:r>
      <w:proofErr w:type="spellEnd"/>
      <w:r w:rsidRPr="00F30727">
        <w:rPr>
          <w:rFonts w:ascii="Arial" w:hAnsi="Arial" w:cs="Arial"/>
          <w:b/>
          <w:bCs/>
          <w:lang w:eastAsia="ja-JP"/>
        </w:rPr>
        <w:t xml:space="preserve"> (containing inference config or inference related parameter set), but </w:t>
      </w:r>
      <w:r w:rsidR="32ADCF4F" w:rsidRPr="6BB0BBE8">
        <w:rPr>
          <w:rFonts w:ascii="Arial" w:hAnsi="Arial" w:cs="Arial"/>
          <w:b/>
          <w:bCs/>
          <w:lang w:eastAsia="ja-JP"/>
        </w:rPr>
        <w:t xml:space="preserve">the model </w:t>
      </w:r>
      <w:proofErr w:type="gramStart"/>
      <w:r w:rsidR="24B0B432" w:rsidRPr="6BB0BBE8">
        <w:rPr>
          <w:rFonts w:ascii="Arial" w:hAnsi="Arial" w:cs="Arial"/>
          <w:b/>
          <w:bCs/>
          <w:lang w:eastAsia="ja-JP"/>
        </w:rPr>
        <w:t>is</w:t>
      </w:r>
      <w:r w:rsidRPr="00F30727">
        <w:rPr>
          <w:rFonts w:ascii="Arial" w:hAnsi="Arial" w:cs="Arial"/>
          <w:b/>
          <w:bCs/>
          <w:lang w:eastAsia="ja-JP"/>
        </w:rPr>
        <w:t xml:space="preserve"> not be</w:t>
      </w:r>
      <w:proofErr w:type="gramEnd"/>
      <w:r w:rsidRPr="00F30727">
        <w:rPr>
          <w:rFonts w:ascii="Arial" w:hAnsi="Arial" w:cs="Arial"/>
          <w:b/>
          <w:bCs/>
          <w:lang w:eastAsia="ja-JP"/>
        </w:rPr>
        <w:t xml:space="preserve"> available </w:t>
      </w:r>
      <w:r w:rsidR="0450442D" w:rsidRPr="6BB0BBE8">
        <w:rPr>
          <w:rFonts w:ascii="Arial" w:hAnsi="Arial" w:cs="Arial"/>
          <w:b/>
          <w:bCs/>
          <w:lang w:eastAsia="ja-JP"/>
        </w:rPr>
        <w:t>for inference</w:t>
      </w:r>
      <w:r w:rsidRPr="00F30727">
        <w:rPr>
          <w:rFonts w:ascii="Arial" w:hAnsi="Arial" w:cs="Arial"/>
          <w:b/>
          <w:bCs/>
          <w:lang w:eastAsia="ja-JP"/>
        </w:rPr>
        <w:t>.</w:t>
      </w:r>
    </w:p>
    <w:p w14:paraId="47C02BF7" w14:textId="0A5AC39D" w:rsidR="00F30727" w:rsidRDefault="00F30727" w:rsidP="00F30727">
      <w:pPr>
        <w:pStyle w:val="BodyText"/>
        <w:numPr>
          <w:ilvl w:val="0"/>
          <w:numId w:val="19"/>
        </w:numPr>
        <w:spacing w:after="0"/>
        <w:jc w:val="left"/>
        <w:rPr>
          <w:rFonts w:ascii="Arial" w:hAnsi="Arial" w:cs="Arial"/>
          <w:b/>
          <w:bCs/>
          <w:lang w:eastAsia="ja-JP"/>
        </w:rPr>
      </w:pPr>
      <w:r w:rsidRPr="00F30727">
        <w:rPr>
          <w:rFonts w:ascii="Arial" w:hAnsi="Arial" w:cs="Arial"/>
          <w:b/>
          <w:bCs/>
          <w:lang w:eastAsia="ja-JP"/>
        </w:rPr>
        <w:t>Inapplicable:</w:t>
      </w:r>
      <w:r w:rsidRPr="6BB0BBE8">
        <w:rPr>
          <w:rFonts w:ascii="Arial" w:hAnsi="Arial" w:cs="Arial"/>
          <w:b/>
          <w:bCs/>
          <w:lang w:eastAsia="ja-JP"/>
        </w:rPr>
        <w:t xml:space="preserve"> </w:t>
      </w:r>
      <w:r w:rsidR="489DDB4D" w:rsidRPr="6BB0BBE8">
        <w:rPr>
          <w:rFonts w:ascii="Arial" w:hAnsi="Arial" w:cs="Arial"/>
          <w:b/>
          <w:bCs/>
          <w:lang w:eastAsia="ja-JP"/>
        </w:rPr>
        <w:t>For the case when</w:t>
      </w:r>
      <w:r w:rsidRPr="00F30727">
        <w:rPr>
          <w:rFonts w:ascii="Arial" w:hAnsi="Arial" w:cs="Arial"/>
          <w:b/>
          <w:bCs/>
          <w:lang w:eastAsia="ja-JP"/>
        </w:rPr>
        <w:t xml:space="preserve"> UE side does not have a trained model for the configured CSI-</w:t>
      </w:r>
      <w:proofErr w:type="spellStart"/>
      <w:r w:rsidRPr="00F30727">
        <w:rPr>
          <w:rFonts w:ascii="Arial" w:hAnsi="Arial" w:cs="Arial"/>
          <w:b/>
          <w:bCs/>
          <w:lang w:eastAsia="ja-JP"/>
        </w:rPr>
        <w:t>ReportConfig</w:t>
      </w:r>
      <w:proofErr w:type="spellEnd"/>
      <w:r w:rsidRPr="00F30727">
        <w:rPr>
          <w:rFonts w:ascii="Arial" w:hAnsi="Arial" w:cs="Arial"/>
          <w:b/>
          <w:bCs/>
          <w:lang w:eastAsia="ja-JP"/>
        </w:rPr>
        <w:t xml:space="preserve"> (containing inference config or inference related parameter set).</w:t>
      </w:r>
      <w:r w:rsidR="1729E3E2" w:rsidRPr="6BB0BBE8">
        <w:rPr>
          <w:rFonts w:ascii="Arial" w:hAnsi="Arial" w:cs="Arial"/>
          <w:b/>
          <w:bCs/>
          <w:lang w:eastAsia="ja-JP"/>
        </w:rPr>
        <w:t xml:space="preserve"> The model will not be available on this device for the </w:t>
      </w:r>
      <w:proofErr w:type="spellStart"/>
      <w:r w:rsidR="1729E3E2" w:rsidRPr="6BB0BBE8">
        <w:rPr>
          <w:rFonts w:ascii="Arial" w:hAnsi="Arial" w:cs="Arial"/>
          <w:b/>
          <w:bCs/>
          <w:lang w:eastAsia="ja-JP"/>
        </w:rPr>
        <w:t>forseeable</w:t>
      </w:r>
      <w:proofErr w:type="spellEnd"/>
      <w:r w:rsidR="1729E3E2" w:rsidRPr="6BB0BBE8">
        <w:rPr>
          <w:rFonts w:ascii="Arial" w:hAnsi="Arial" w:cs="Arial"/>
          <w:b/>
          <w:bCs/>
          <w:lang w:eastAsia="ja-JP"/>
        </w:rPr>
        <w:t xml:space="preserve"> future.</w:t>
      </w:r>
    </w:p>
    <w:p w14:paraId="6997D7D5" w14:textId="77777777" w:rsidR="00F30727" w:rsidRDefault="00F30727" w:rsidP="00F30727">
      <w:pPr>
        <w:pStyle w:val="BodyText"/>
        <w:spacing w:after="0"/>
        <w:jc w:val="left"/>
        <w:rPr>
          <w:rFonts w:ascii="Arial" w:hAnsi="Arial" w:cs="Arial"/>
          <w:b/>
          <w:bCs/>
          <w:lang w:eastAsia="ja-JP"/>
        </w:rPr>
      </w:pPr>
    </w:p>
    <w:p w14:paraId="0EFEC2AD" w14:textId="21FADDA6" w:rsidR="00F30727" w:rsidRDefault="00F30727" w:rsidP="00F30727">
      <w:pPr>
        <w:pStyle w:val="BodyText"/>
        <w:spacing w:after="0"/>
        <w:jc w:val="left"/>
        <w:rPr>
          <w:rFonts w:ascii="Arial" w:hAnsi="Arial" w:cs="Arial"/>
          <w:b/>
          <w:bCs/>
          <w:lang w:eastAsia="ja-JP"/>
        </w:rPr>
      </w:pPr>
      <w:r w:rsidRPr="00F30727">
        <w:rPr>
          <w:rFonts w:ascii="Arial" w:hAnsi="Arial" w:cs="Arial"/>
          <w:b/>
          <w:bCs/>
          <w:lang w:eastAsia="ja-JP"/>
        </w:rPr>
        <w:lastRenderedPageBreak/>
        <w:t xml:space="preserve">Proposal </w:t>
      </w:r>
      <w:r w:rsidR="002D1197">
        <w:rPr>
          <w:rFonts w:ascii="Arial" w:hAnsi="Arial" w:cs="Arial"/>
          <w:b/>
          <w:bCs/>
          <w:lang w:eastAsia="ja-JP"/>
        </w:rPr>
        <w:t>4</w:t>
      </w:r>
      <w:r w:rsidRPr="00F30727">
        <w:rPr>
          <w:rFonts w:ascii="Arial" w:hAnsi="Arial" w:cs="Arial"/>
          <w:b/>
          <w:bCs/>
          <w:lang w:eastAsia="ja-JP"/>
        </w:rPr>
        <w:t xml:space="preserve">: Other </w:t>
      </w:r>
      <w:r w:rsidR="132F7D4F" w:rsidRPr="6BB0BBE8">
        <w:rPr>
          <w:rFonts w:ascii="Arial" w:hAnsi="Arial" w:cs="Arial"/>
          <w:b/>
          <w:bCs/>
          <w:lang w:eastAsia="ja-JP"/>
        </w:rPr>
        <w:t xml:space="preserve">reasons </w:t>
      </w:r>
      <w:r w:rsidR="052A5821" w:rsidRPr="6BB0BBE8">
        <w:rPr>
          <w:rFonts w:ascii="Arial" w:hAnsi="Arial" w:cs="Arial"/>
          <w:b/>
          <w:bCs/>
          <w:lang w:eastAsia="ja-JP"/>
        </w:rPr>
        <w:t xml:space="preserve">for </w:t>
      </w:r>
      <w:r w:rsidRPr="00F30727">
        <w:rPr>
          <w:rFonts w:ascii="Arial" w:hAnsi="Arial" w:cs="Arial"/>
          <w:b/>
          <w:bCs/>
          <w:lang w:eastAsia="ja-JP"/>
        </w:rPr>
        <w:t>inapplicability</w:t>
      </w:r>
      <w:r w:rsidR="7933127E" w:rsidRPr="6BB0BBE8">
        <w:rPr>
          <w:rFonts w:ascii="Arial" w:hAnsi="Arial" w:cs="Arial"/>
          <w:b/>
          <w:bCs/>
          <w:lang w:eastAsia="ja-JP"/>
        </w:rPr>
        <w:t xml:space="preserve">, </w:t>
      </w:r>
      <w:r w:rsidR="71BF6D11" w:rsidRPr="6BB0BBE8">
        <w:rPr>
          <w:rFonts w:ascii="Arial" w:hAnsi="Arial" w:cs="Arial"/>
          <w:b/>
          <w:bCs/>
          <w:lang w:eastAsia="ja-JP"/>
        </w:rPr>
        <w:t>such as</w:t>
      </w:r>
      <w:r w:rsidRPr="00F30727">
        <w:rPr>
          <w:rFonts w:ascii="Arial" w:hAnsi="Arial" w:cs="Arial"/>
          <w:b/>
          <w:bCs/>
          <w:lang w:eastAsia="ja-JP"/>
        </w:rPr>
        <w:t xml:space="preserve"> due to memory, power</w:t>
      </w:r>
      <w:r w:rsidR="25783020" w:rsidRPr="6BB0BBE8">
        <w:rPr>
          <w:rFonts w:ascii="Arial" w:hAnsi="Arial" w:cs="Arial"/>
          <w:b/>
          <w:bCs/>
          <w:lang w:eastAsia="ja-JP"/>
        </w:rPr>
        <w:t>,</w:t>
      </w:r>
      <w:r w:rsidRPr="00F30727">
        <w:rPr>
          <w:rFonts w:ascii="Arial" w:hAnsi="Arial" w:cs="Arial"/>
          <w:b/>
          <w:bCs/>
          <w:lang w:eastAsia="ja-JP"/>
        </w:rPr>
        <w:t xml:space="preserve"> </w:t>
      </w:r>
      <w:r w:rsidR="00A47806">
        <w:rPr>
          <w:rFonts w:ascii="Arial" w:hAnsi="Arial" w:cs="Arial"/>
          <w:b/>
          <w:bCs/>
          <w:lang w:eastAsia="ja-JP"/>
        </w:rPr>
        <w:t xml:space="preserve">are </w:t>
      </w:r>
      <w:r w:rsidRPr="00F30727">
        <w:rPr>
          <w:rFonts w:ascii="Arial" w:hAnsi="Arial" w:cs="Arial"/>
          <w:b/>
          <w:bCs/>
          <w:lang w:eastAsia="ja-JP"/>
        </w:rPr>
        <w:t xml:space="preserve">UE’s proprietary information and </w:t>
      </w:r>
      <w:r w:rsidR="491D43FF" w:rsidRPr="6BB0BBE8">
        <w:rPr>
          <w:rFonts w:ascii="Arial" w:hAnsi="Arial" w:cs="Arial"/>
          <w:b/>
          <w:bCs/>
          <w:lang w:eastAsia="ja-JP"/>
        </w:rPr>
        <w:t xml:space="preserve">shall </w:t>
      </w:r>
      <w:r w:rsidRPr="00F30727">
        <w:rPr>
          <w:rFonts w:ascii="Arial" w:hAnsi="Arial" w:cs="Arial"/>
          <w:b/>
          <w:bCs/>
          <w:lang w:eastAsia="ja-JP"/>
        </w:rPr>
        <w:t xml:space="preserve">not be signaled. </w:t>
      </w:r>
    </w:p>
    <w:p w14:paraId="52C9C40C" w14:textId="77777777" w:rsidR="001B41B7" w:rsidRDefault="001B41B7" w:rsidP="00F30727">
      <w:pPr>
        <w:pStyle w:val="BodyText"/>
        <w:spacing w:after="0"/>
        <w:jc w:val="left"/>
        <w:rPr>
          <w:rFonts w:ascii="Arial" w:hAnsi="Arial" w:cs="Arial"/>
          <w:b/>
          <w:bCs/>
          <w:lang w:eastAsia="ja-JP"/>
        </w:rPr>
      </w:pPr>
    </w:p>
    <w:p w14:paraId="643368F6" w14:textId="77777777" w:rsidR="001B41B7" w:rsidRPr="00586641" w:rsidRDefault="001B41B7" w:rsidP="001B41B7">
      <w:pPr>
        <w:pStyle w:val="BodyText"/>
        <w:jc w:val="left"/>
        <w:outlineLvl w:val="2"/>
        <w:rPr>
          <w:rFonts w:ascii="Arial" w:hAnsi="Arial" w:cs="Arial"/>
          <w:b/>
          <w:bCs/>
          <w:lang w:eastAsia="ja-JP"/>
        </w:rPr>
      </w:pPr>
      <w:r w:rsidRPr="00586641">
        <w:rPr>
          <w:rFonts w:ascii="Arial" w:hAnsi="Arial" w:cs="Arial"/>
          <w:b/>
          <w:bCs/>
          <w:lang w:eastAsia="ja-JP"/>
        </w:rPr>
        <w:t xml:space="preserve">2.1.3 Clarification on initial applicability report </w:t>
      </w:r>
    </w:p>
    <w:p w14:paraId="234E820E" w14:textId="77777777" w:rsidR="001B41B7" w:rsidRPr="00586641" w:rsidRDefault="001B41B7" w:rsidP="001B41B7">
      <w:pPr>
        <w:pStyle w:val="BodyText"/>
        <w:spacing w:after="0"/>
        <w:jc w:val="left"/>
        <w:rPr>
          <w:rFonts w:ascii="Arial" w:hAnsi="Arial" w:cs="Arial"/>
          <w:lang w:eastAsia="ja-JP"/>
        </w:rPr>
      </w:pPr>
      <w:r>
        <w:rPr>
          <w:rFonts w:ascii="Arial" w:hAnsi="Arial" w:cs="Arial"/>
          <w:lang w:eastAsia="ja-JP"/>
        </w:rPr>
        <w:t>At the</w:t>
      </w:r>
      <w:r w:rsidRPr="00586641">
        <w:rPr>
          <w:rFonts w:ascii="Arial" w:hAnsi="Arial" w:cs="Arial"/>
          <w:lang w:eastAsia="ja-JP"/>
        </w:rPr>
        <w:t xml:space="preserve"> RAN2#129 meeting [4], RAN2 agreed </w:t>
      </w:r>
      <w:r>
        <w:rPr>
          <w:rFonts w:ascii="Arial" w:hAnsi="Arial" w:cs="Arial"/>
          <w:lang w:eastAsia="ja-JP"/>
        </w:rPr>
        <w:t>on the</w:t>
      </w:r>
      <w:r w:rsidRPr="00586641">
        <w:rPr>
          <w:rFonts w:ascii="Arial" w:hAnsi="Arial" w:cs="Arial"/>
          <w:lang w:eastAsia="ja-JP"/>
        </w:rPr>
        <w:t xml:space="preserve"> following</w:t>
      </w:r>
    </w:p>
    <w:p w14:paraId="15E02104" w14:textId="77777777" w:rsidR="001B41B7" w:rsidRPr="00586641" w:rsidRDefault="001B41B7" w:rsidP="001B41B7">
      <w:pPr>
        <w:pStyle w:val="Agreement"/>
        <w:ind w:left="360"/>
        <w:rPr>
          <w:rFonts w:cs="Arial"/>
          <w:b w:val="0"/>
          <w:bCs/>
        </w:rPr>
      </w:pPr>
      <w:r w:rsidRPr="00586641">
        <w:rPr>
          <w:rFonts w:cs="Arial"/>
          <w:b w:val="0"/>
          <w:bCs/>
        </w:rPr>
        <w:t xml:space="preserve">Support the explicit reporting of applicability/inapplicability in </w:t>
      </w:r>
      <w:r>
        <w:rPr>
          <w:rFonts w:cs="Arial"/>
          <w:b w:val="0"/>
          <w:bCs/>
        </w:rPr>
        <w:t xml:space="preserve">the </w:t>
      </w:r>
      <w:r w:rsidRPr="00586641">
        <w:rPr>
          <w:rFonts w:cs="Arial"/>
          <w:b w:val="0"/>
          <w:bCs/>
        </w:rPr>
        <w:t xml:space="preserve">initial report and subsequent reporting it reports only </w:t>
      </w:r>
      <w:r>
        <w:rPr>
          <w:rFonts w:cs="Arial"/>
          <w:b w:val="0"/>
          <w:bCs/>
        </w:rPr>
        <w:t xml:space="preserve">the </w:t>
      </w:r>
      <w:r w:rsidRPr="00586641">
        <w:rPr>
          <w:rFonts w:cs="Arial"/>
          <w:b w:val="0"/>
          <w:bCs/>
        </w:rPr>
        <w:t xml:space="preserve">applicability it changed.   FFS if we report explicit cause </w:t>
      </w:r>
    </w:p>
    <w:p w14:paraId="525F4655" w14:textId="77777777" w:rsidR="001B41B7" w:rsidRPr="00586641" w:rsidRDefault="001B41B7" w:rsidP="001B41B7">
      <w:pPr>
        <w:pStyle w:val="BodyText"/>
        <w:spacing w:after="0"/>
        <w:jc w:val="left"/>
        <w:rPr>
          <w:rFonts w:ascii="Arial" w:hAnsi="Arial" w:cs="Arial"/>
          <w:lang w:eastAsia="ja-JP"/>
        </w:rPr>
      </w:pPr>
    </w:p>
    <w:p w14:paraId="2C1A0758" w14:textId="77777777" w:rsidR="001B41B7" w:rsidRPr="00586641" w:rsidRDefault="001B41B7" w:rsidP="001B41B7">
      <w:pPr>
        <w:pStyle w:val="BodyText"/>
        <w:spacing w:after="0"/>
        <w:jc w:val="left"/>
        <w:rPr>
          <w:rFonts w:ascii="Arial" w:hAnsi="Arial" w:cs="Arial"/>
          <w:lang w:eastAsia="ja-JP"/>
        </w:rPr>
      </w:pPr>
      <w:r w:rsidRPr="00586641">
        <w:rPr>
          <w:rFonts w:ascii="Arial" w:hAnsi="Arial" w:cs="Arial"/>
          <w:lang w:eastAsia="ja-JP"/>
        </w:rPr>
        <w:t xml:space="preserve">For the applicability </w:t>
      </w:r>
      <w:r>
        <w:rPr>
          <w:rFonts w:ascii="Arial" w:hAnsi="Arial" w:cs="Arial"/>
          <w:lang w:eastAsia="ja-JP"/>
        </w:rPr>
        <w:t>report</w:t>
      </w:r>
      <w:r w:rsidRPr="00586641">
        <w:rPr>
          <w:rFonts w:ascii="Arial" w:hAnsi="Arial" w:cs="Arial"/>
          <w:lang w:eastAsia="ja-JP"/>
        </w:rPr>
        <w:t xml:space="preserve">, the following aspects should be further discussed </w:t>
      </w:r>
    </w:p>
    <w:p w14:paraId="7D9873FC" w14:textId="77777777" w:rsidR="001B41B7" w:rsidRPr="00586641" w:rsidRDefault="001B41B7" w:rsidP="001B41B7">
      <w:pPr>
        <w:pStyle w:val="BodyText"/>
        <w:numPr>
          <w:ilvl w:val="0"/>
          <w:numId w:val="21"/>
        </w:numPr>
        <w:spacing w:after="0"/>
        <w:jc w:val="left"/>
        <w:rPr>
          <w:rFonts w:ascii="Arial" w:hAnsi="Arial" w:cs="Arial"/>
          <w:lang w:eastAsia="ja-JP"/>
        </w:rPr>
      </w:pPr>
      <w:r w:rsidRPr="00586641">
        <w:rPr>
          <w:rFonts w:ascii="Arial" w:hAnsi="Arial" w:cs="Arial"/>
          <w:lang w:eastAsia="ja-JP"/>
        </w:rPr>
        <w:t>What should be the reference for initial applicability reporting?</w:t>
      </w:r>
    </w:p>
    <w:p w14:paraId="5CA69384" w14:textId="77777777" w:rsidR="001B41B7" w:rsidRPr="00586641" w:rsidRDefault="001B41B7" w:rsidP="001B41B7">
      <w:pPr>
        <w:pStyle w:val="BodyText"/>
        <w:numPr>
          <w:ilvl w:val="0"/>
          <w:numId w:val="21"/>
        </w:numPr>
        <w:spacing w:after="0"/>
        <w:jc w:val="left"/>
        <w:rPr>
          <w:rFonts w:ascii="Arial" w:hAnsi="Arial" w:cs="Arial"/>
          <w:lang w:eastAsia="ja-JP"/>
        </w:rPr>
      </w:pPr>
      <w:r w:rsidRPr="00586641">
        <w:rPr>
          <w:rFonts w:ascii="Arial" w:hAnsi="Arial" w:cs="Arial"/>
          <w:lang w:eastAsia="ja-JP"/>
        </w:rPr>
        <w:t xml:space="preserve">How should the UE report </w:t>
      </w:r>
      <w:r>
        <w:rPr>
          <w:rFonts w:ascii="Arial" w:hAnsi="Arial" w:cs="Arial"/>
          <w:lang w:eastAsia="ja-JP"/>
        </w:rPr>
        <w:t xml:space="preserve">the </w:t>
      </w:r>
      <w:r w:rsidRPr="00586641">
        <w:rPr>
          <w:rFonts w:ascii="Arial" w:hAnsi="Arial" w:cs="Arial"/>
          <w:lang w:eastAsia="ja-JP"/>
        </w:rPr>
        <w:t xml:space="preserve">applicability of </w:t>
      </w:r>
      <w:r>
        <w:rPr>
          <w:rFonts w:ascii="Arial" w:hAnsi="Arial" w:cs="Arial"/>
          <w:lang w:eastAsia="ja-JP"/>
        </w:rPr>
        <w:t>the full</w:t>
      </w:r>
      <w:r w:rsidRPr="00586641">
        <w:rPr>
          <w:rFonts w:ascii="Arial" w:hAnsi="Arial" w:cs="Arial"/>
          <w:lang w:eastAsia="ja-JP"/>
        </w:rPr>
        <w:t xml:space="preserve"> inference configuration configured by </w:t>
      </w:r>
      <w:r>
        <w:rPr>
          <w:rFonts w:ascii="Arial" w:hAnsi="Arial" w:cs="Arial"/>
          <w:lang w:eastAsia="ja-JP"/>
        </w:rPr>
        <w:t>the earlier</w:t>
      </w:r>
      <w:r w:rsidRPr="00586641">
        <w:rPr>
          <w:rFonts w:ascii="Arial" w:hAnsi="Arial" w:cs="Arial"/>
          <w:lang w:eastAsia="ja-JP"/>
        </w:rPr>
        <w:t xml:space="preserve"> RRCReconfiguration?</w:t>
      </w:r>
    </w:p>
    <w:p w14:paraId="7D760A4A" w14:textId="77777777" w:rsidR="001B41B7" w:rsidRPr="00586641" w:rsidRDefault="001B41B7" w:rsidP="001B41B7">
      <w:pPr>
        <w:pStyle w:val="BodyText"/>
        <w:spacing w:after="0"/>
        <w:jc w:val="left"/>
        <w:rPr>
          <w:rFonts w:ascii="Arial" w:hAnsi="Arial" w:cs="Arial"/>
          <w:lang w:eastAsia="ja-JP"/>
        </w:rPr>
      </w:pPr>
    </w:p>
    <w:p w14:paraId="3475A2D5" w14:textId="1A1FEE76" w:rsidR="001B41B7" w:rsidRPr="00586641" w:rsidRDefault="001B41B7" w:rsidP="001B41B7">
      <w:pPr>
        <w:pStyle w:val="BodyText"/>
        <w:spacing w:after="0"/>
        <w:jc w:val="left"/>
        <w:rPr>
          <w:rFonts w:ascii="Arial" w:hAnsi="Arial" w:cs="Arial"/>
          <w:b/>
          <w:bCs/>
          <w:lang w:eastAsia="ja-JP"/>
        </w:rPr>
      </w:pPr>
      <w:r w:rsidRPr="00586641">
        <w:rPr>
          <w:rFonts w:ascii="Arial" w:hAnsi="Arial" w:cs="Arial"/>
          <w:b/>
          <w:bCs/>
          <w:lang w:eastAsia="ja-JP"/>
        </w:rPr>
        <w:t>Observation</w:t>
      </w:r>
      <w:r>
        <w:rPr>
          <w:rFonts w:ascii="Arial" w:hAnsi="Arial" w:cs="Arial"/>
          <w:b/>
          <w:bCs/>
          <w:lang w:eastAsia="ja-JP"/>
        </w:rPr>
        <w:t xml:space="preserve"> 5</w:t>
      </w:r>
      <w:r w:rsidRPr="00586641">
        <w:rPr>
          <w:rFonts w:ascii="Arial" w:hAnsi="Arial" w:cs="Arial"/>
          <w:b/>
          <w:bCs/>
          <w:lang w:eastAsia="ja-JP"/>
        </w:rPr>
        <w:t>:  For the applicability</w:t>
      </w:r>
      <w:r>
        <w:rPr>
          <w:rFonts w:ascii="Arial" w:hAnsi="Arial" w:cs="Arial"/>
          <w:b/>
          <w:bCs/>
          <w:lang w:eastAsia="ja-JP"/>
        </w:rPr>
        <w:t>/inapplicability</w:t>
      </w:r>
      <w:r w:rsidRPr="00586641">
        <w:rPr>
          <w:rFonts w:ascii="Arial" w:hAnsi="Arial" w:cs="Arial"/>
          <w:b/>
          <w:bCs/>
          <w:lang w:eastAsia="ja-JP"/>
        </w:rPr>
        <w:t xml:space="preserve"> reporting, the following aspects should be further discussed </w:t>
      </w:r>
    </w:p>
    <w:p w14:paraId="1FF4993A" w14:textId="77777777" w:rsidR="001B41B7" w:rsidRDefault="001B41B7" w:rsidP="001B41B7">
      <w:pPr>
        <w:pStyle w:val="BodyText"/>
        <w:numPr>
          <w:ilvl w:val="0"/>
          <w:numId w:val="21"/>
        </w:numPr>
        <w:spacing w:after="0"/>
        <w:jc w:val="left"/>
        <w:rPr>
          <w:rFonts w:ascii="Arial" w:hAnsi="Arial" w:cs="Arial"/>
          <w:b/>
          <w:bCs/>
          <w:lang w:eastAsia="ja-JP"/>
        </w:rPr>
      </w:pPr>
      <w:r w:rsidRPr="00586641">
        <w:rPr>
          <w:rFonts w:ascii="Arial" w:hAnsi="Arial" w:cs="Arial"/>
          <w:b/>
          <w:bCs/>
          <w:lang w:eastAsia="ja-JP"/>
        </w:rPr>
        <w:t>What should be the reference for initial applicability</w:t>
      </w:r>
      <w:r>
        <w:rPr>
          <w:rFonts w:ascii="Arial" w:hAnsi="Arial" w:cs="Arial"/>
          <w:b/>
          <w:bCs/>
          <w:lang w:eastAsia="ja-JP"/>
        </w:rPr>
        <w:t>/inapplicability</w:t>
      </w:r>
      <w:r w:rsidRPr="00586641">
        <w:rPr>
          <w:rFonts w:ascii="Arial" w:hAnsi="Arial" w:cs="Arial"/>
          <w:b/>
          <w:bCs/>
          <w:lang w:eastAsia="ja-JP"/>
        </w:rPr>
        <w:t xml:space="preserve"> reporting? </w:t>
      </w:r>
    </w:p>
    <w:p w14:paraId="05A7035E" w14:textId="77777777" w:rsidR="001B41B7" w:rsidRPr="00255237" w:rsidRDefault="001B41B7" w:rsidP="001B41B7">
      <w:pPr>
        <w:pStyle w:val="BodyText"/>
        <w:numPr>
          <w:ilvl w:val="0"/>
          <w:numId w:val="21"/>
        </w:numPr>
        <w:spacing w:after="0"/>
        <w:jc w:val="left"/>
        <w:rPr>
          <w:rFonts w:ascii="Arial" w:hAnsi="Arial" w:cs="Arial"/>
          <w:b/>
          <w:bCs/>
          <w:lang w:eastAsia="ja-JP"/>
        </w:rPr>
      </w:pPr>
      <w:r w:rsidRPr="00586641">
        <w:rPr>
          <w:rFonts w:ascii="Arial" w:hAnsi="Arial" w:cs="Arial"/>
          <w:b/>
          <w:bCs/>
          <w:lang w:eastAsia="ja-JP"/>
        </w:rPr>
        <w:t xml:space="preserve">How should the UE report </w:t>
      </w:r>
      <w:r>
        <w:rPr>
          <w:rFonts w:ascii="Arial" w:hAnsi="Arial" w:cs="Arial"/>
          <w:b/>
          <w:bCs/>
          <w:lang w:eastAsia="ja-JP"/>
        </w:rPr>
        <w:t xml:space="preserve">the </w:t>
      </w:r>
      <w:r w:rsidRPr="00586641">
        <w:rPr>
          <w:rFonts w:ascii="Arial" w:hAnsi="Arial" w:cs="Arial"/>
          <w:b/>
          <w:bCs/>
          <w:lang w:eastAsia="ja-JP"/>
        </w:rPr>
        <w:t xml:space="preserve">applicability of </w:t>
      </w:r>
      <w:r>
        <w:rPr>
          <w:rFonts w:ascii="Arial" w:hAnsi="Arial" w:cs="Arial"/>
          <w:b/>
          <w:bCs/>
          <w:lang w:eastAsia="ja-JP"/>
        </w:rPr>
        <w:t xml:space="preserve">the </w:t>
      </w:r>
      <w:r w:rsidRPr="00586641">
        <w:rPr>
          <w:rFonts w:ascii="Arial" w:hAnsi="Arial" w:cs="Arial"/>
          <w:b/>
          <w:bCs/>
          <w:lang w:eastAsia="ja-JP"/>
        </w:rPr>
        <w:t xml:space="preserve">configuration </w:t>
      </w:r>
      <w:r>
        <w:rPr>
          <w:rFonts w:ascii="Arial" w:hAnsi="Arial" w:cs="Arial"/>
          <w:b/>
          <w:bCs/>
          <w:lang w:eastAsia="ja-JP"/>
        </w:rPr>
        <w:t>provided</w:t>
      </w:r>
      <w:r w:rsidRPr="00586641">
        <w:rPr>
          <w:rFonts w:ascii="Arial" w:hAnsi="Arial" w:cs="Arial"/>
          <w:b/>
          <w:bCs/>
          <w:lang w:eastAsia="ja-JP"/>
        </w:rPr>
        <w:t xml:space="preserve"> by earlier RRCReconfiguration</w:t>
      </w:r>
      <w:r>
        <w:rPr>
          <w:rFonts w:ascii="Arial" w:hAnsi="Arial" w:cs="Arial"/>
          <w:b/>
          <w:bCs/>
          <w:lang w:eastAsia="ja-JP"/>
        </w:rPr>
        <w:t xml:space="preserve"> messages</w:t>
      </w:r>
      <w:r w:rsidRPr="00586641">
        <w:rPr>
          <w:rFonts w:ascii="Arial" w:hAnsi="Arial" w:cs="Arial"/>
          <w:b/>
          <w:bCs/>
          <w:lang w:eastAsia="ja-JP"/>
        </w:rPr>
        <w:t>?</w:t>
      </w:r>
    </w:p>
    <w:p w14:paraId="7338D096" w14:textId="77777777" w:rsidR="001B41B7" w:rsidRPr="00586641" w:rsidRDefault="001B41B7" w:rsidP="001B41B7">
      <w:pPr>
        <w:pStyle w:val="BodyText"/>
        <w:spacing w:after="0"/>
        <w:jc w:val="left"/>
        <w:rPr>
          <w:rFonts w:ascii="Arial" w:hAnsi="Arial" w:cs="Arial"/>
          <w:lang w:eastAsia="ja-JP"/>
        </w:rPr>
      </w:pPr>
    </w:p>
    <w:p w14:paraId="65A70778" w14:textId="77777777" w:rsidR="001B41B7" w:rsidRPr="00586641" w:rsidRDefault="001B41B7" w:rsidP="001B41B7">
      <w:pPr>
        <w:pStyle w:val="BodyText"/>
        <w:jc w:val="left"/>
        <w:outlineLvl w:val="3"/>
        <w:rPr>
          <w:rFonts w:ascii="Arial" w:hAnsi="Arial" w:cs="Arial"/>
          <w:b/>
          <w:bCs/>
        </w:rPr>
      </w:pPr>
      <w:r w:rsidRPr="00586641">
        <w:rPr>
          <w:rFonts w:ascii="Arial" w:hAnsi="Arial" w:cs="Arial"/>
          <w:b/>
          <w:bCs/>
          <w:lang w:eastAsia="ja-JP"/>
        </w:rPr>
        <w:t>2.1.3.1</w:t>
      </w:r>
      <w:r>
        <w:rPr>
          <w:rFonts w:ascii="Arial" w:hAnsi="Arial" w:cs="Arial"/>
          <w:b/>
          <w:bCs/>
          <w:lang w:eastAsia="ja-JP"/>
        </w:rPr>
        <w:tab/>
        <w:t xml:space="preserve">Determining Initial Applicability Report </w:t>
      </w:r>
    </w:p>
    <w:p w14:paraId="53D685E5" w14:textId="77777777" w:rsidR="001B41B7" w:rsidRDefault="001B41B7" w:rsidP="001B41B7">
      <w:pPr>
        <w:pStyle w:val="BodyText"/>
        <w:spacing w:after="0"/>
        <w:jc w:val="left"/>
        <w:rPr>
          <w:rFonts w:ascii="Arial" w:hAnsi="Arial" w:cs="Arial"/>
          <w:lang w:eastAsia="ja-JP"/>
        </w:rPr>
      </w:pPr>
      <w:r w:rsidRPr="00255237">
        <w:rPr>
          <w:rFonts w:ascii="Arial" w:hAnsi="Arial" w:cs="Arial"/>
          <w:lang w:eastAsia="ja-JP"/>
        </w:rPr>
        <w:t>RA</w:t>
      </w:r>
      <w:r>
        <w:rPr>
          <w:rFonts w:ascii="Arial" w:hAnsi="Arial" w:cs="Arial"/>
          <w:lang w:eastAsia="ja-JP"/>
        </w:rPr>
        <w:t>N needs to clarify what is the reference for initial applicability/inapplicability reporting. The following can be considered as initial applicability and applicability reporting,</w:t>
      </w:r>
    </w:p>
    <w:p w14:paraId="67DB9355" w14:textId="77777777" w:rsidR="001B41B7" w:rsidRDefault="001B41B7" w:rsidP="001B41B7">
      <w:pPr>
        <w:pStyle w:val="BodyText"/>
        <w:numPr>
          <w:ilvl w:val="0"/>
          <w:numId w:val="22"/>
        </w:numPr>
        <w:spacing w:after="0"/>
        <w:ind w:left="1195"/>
        <w:jc w:val="left"/>
        <w:rPr>
          <w:rFonts w:ascii="Arial" w:hAnsi="Arial" w:cs="Arial"/>
          <w:lang w:eastAsia="ja-JP"/>
        </w:rPr>
      </w:pPr>
      <w:r>
        <w:rPr>
          <w:rFonts w:ascii="Arial" w:hAnsi="Arial" w:cs="Arial"/>
          <w:lang w:eastAsia="ja-JP"/>
        </w:rPr>
        <w:t xml:space="preserve">The first applicability/inapplicability report sent after each RRCReconfiguration is considered the initial applicability/inapplicability report if the RRCReconfiguration contains one or more full inference configurations for applicability determination (option A) or one or more inference-related parameter sets for applicability determination (option B), or </w:t>
      </w:r>
    </w:p>
    <w:p w14:paraId="6DB0085B" w14:textId="77777777" w:rsidR="001B41B7" w:rsidRDefault="001B41B7" w:rsidP="001B41B7">
      <w:pPr>
        <w:pStyle w:val="BodyText"/>
        <w:numPr>
          <w:ilvl w:val="0"/>
          <w:numId w:val="22"/>
        </w:numPr>
        <w:spacing w:after="0"/>
        <w:ind w:left="1195"/>
        <w:jc w:val="left"/>
        <w:rPr>
          <w:rFonts w:ascii="Arial" w:hAnsi="Arial" w:cs="Arial"/>
          <w:lang w:eastAsia="ja-JP"/>
        </w:rPr>
      </w:pPr>
      <w:r w:rsidRPr="005D06F0">
        <w:rPr>
          <w:rFonts w:ascii="Arial" w:hAnsi="Arial" w:cs="Arial"/>
          <w:lang w:eastAsia="ja-JP"/>
        </w:rPr>
        <w:t xml:space="preserve">The first applicability/inapplicability report sent after each RRCReconfiguration </w:t>
      </w:r>
      <w:r w:rsidRPr="007121D2">
        <w:rPr>
          <w:rFonts w:ascii="Arial" w:hAnsi="Arial" w:cs="Arial"/>
          <w:lang w:eastAsia="ja-JP"/>
        </w:rPr>
        <w:t>containing</w:t>
      </w:r>
      <w:r>
        <w:rPr>
          <w:rFonts w:ascii="Arial" w:hAnsi="Arial" w:cs="Arial"/>
          <w:lang w:eastAsia="ja-JP"/>
        </w:rPr>
        <w:t xml:space="preserve"> </w:t>
      </w:r>
      <w:proofErr w:type="spellStart"/>
      <w:r w:rsidRPr="005D06F0">
        <w:rPr>
          <w:rFonts w:ascii="Arial" w:hAnsi="Arial" w:cs="Arial"/>
          <w:lang w:eastAsia="ja-JP"/>
        </w:rPr>
        <w:t>fullConfig</w:t>
      </w:r>
      <w:proofErr w:type="spellEnd"/>
      <w:r w:rsidRPr="005D06F0">
        <w:rPr>
          <w:rFonts w:ascii="Arial" w:hAnsi="Arial" w:cs="Arial"/>
          <w:lang w:eastAsia="ja-JP"/>
        </w:rPr>
        <w:t xml:space="preserve"> </w:t>
      </w:r>
      <w:r>
        <w:rPr>
          <w:rFonts w:ascii="Arial" w:hAnsi="Arial" w:cs="Arial"/>
          <w:lang w:eastAsia="ja-JP"/>
        </w:rPr>
        <w:t xml:space="preserve">is considered the initial applicability/inapplicability report </w:t>
      </w:r>
      <w:r w:rsidRPr="005D06F0">
        <w:rPr>
          <w:rFonts w:ascii="Arial" w:hAnsi="Arial" w:cs="Arial"/>
          <w:lang w:eastAsia="ja-JP"/>
        </w:rPr>
        <w:t xml:space="preserve">if the RRCReconfiguration contains </w:t>
      </w:r>
      <w:r>
        <w:rPr>
          <w:rFonts w:ascii="Arial" w:hAnsi="Arial" w:cs="Arial"/>
          <w:lang w:eastAsia="ja-JP"/>
        </w:rPr>
        <w:t xml:space="preserve">one or more </w:t>
      </w:r>
      <w:r w:rsidRPr="005D06F0">
        <w:rPr>
          <w:rFonts w:ascii="Arial" w:hAnsi="Arial" w:cs="Arial"/>
          <w:lang w:eastAsia="ja-JP"/>
        </w:rPr>
        <w:t>full inference configuration</w:t>
      </w:r>
      <w:r>
        <w:rPr>
          <w:rFonts w:ascii="Arial" w:hAnsi="Arial" w:cs="Arial"/>
          <w:lang w:eastAsia="ja-JP"/>
        </w:rPr>
        <w:t>s</w:t>
      </w:r>
      <w:r w:rsidRPr="005D06F0">
        <w:rPr>
          <w:rFonts w:ascii="Arial" w:hAnsi="Arial" w:cs="Arial"/>
          <w:lang w:eastAsia="ja-JP"/>
        </w:rPr>
        <w:t xml:space="preserve"> for applicability determination (option A) or </w:t>
      </w:r>
      <w:r>
        <w:rPr>
          <w:rFonts w:ascii="Arial" w:hAnsi="Arial" w:cs="Arial"/>
          <w:lang w:eastAsia="ja-JP"/>
        </w:rPr>
        <w:t>inference-related</w:t>
      </w:r>
      <w:r w:rsidRPr="005D06F0">
        <w:rPr>
          <w:rFonts w:ascii="Arial" w:hAnsi="Arial" w:cs="Arial"/>
          <w:lang w:eastAsia="ja-JP"/>
        </w:rPr>
        <w:t xml:space="preserve"> parameter set</w:t>
      </w:r>
      <w:r>
        <w:rPr>
          <w:rFonts w:ascii="Arial" w:hAnsi="Arial" w:cs="Arial"/>
          <w:lang w:eastAsia="ja-JP"/>
        </w:rPr>
        <w:t>s</w:t>
      </w:r>
      <w:r w:rsidRPr="005D06F0">
        <w:rPr>
          <w:rFonts w:ascii="Arial" w:hAnsi="Arial" w:cs="Arial"/>
          <w:lang w:eastAsia="ja-JP"/>
        </w:rPr>
        <w:t xml:space="preserve"> for applicability determination (option B), or </w:t>
      </w:r>
    </w:p>
    <w:p w14:paraId="153D7B27" w14:textId="77777777" w:rsidR="001B41B7" w:rsidRPr="005D06F0" w:rsidRDefault="001B41B7" w:rsidP="001B41B7">
      <w:pPr>
        <w:pStyle w:val="BodyText"/>
        <w:numPr>
          <w:ilvl w:val="0"/>
          <w:numId w:val="22"/>
        </w:numPr>
        <w:spacing w:after="0"/>
        <w:ind w:left="1195"/>
        <w:jc w:val="left"/>
        <w:rPr>
          <w:rFonts w:ascii="Arial" w:hAnsi="Arial" w:cs="Arial"/>
          <w:lang w:eastAsia="ja-JP"/>
        </w:rPr>
      </w:pPr>
      <w:r w:rsidRPr="005D06F0">
        <w:rPr>
          <w:rFonts w:ascii="Arial" w:hAnsi="Arial" w:cs="Arial"/>
          <w:lang w:eastAsia="ja-JP"/>
        </w:rPr>
        <w:t xml:space="preserve">The first applicability/inapplicability report sent after each RRCReconfiguration </w:t>
      </w:r>
      <w:r>
        <w:rPr>
          <w:rFonts w:ascii="Arial" w:hAnsi="Arial" w:cs="Arial"/>
          <w:lang w:eastAsia="ja-JP"/>
        </w:rPr>
        <w:t>containing</w:t>
      </w:r>
      <w:r w:rsidRPr="005D06F0">
        <w:rPr>
          <w:rFonts w:ascii="Arial" w:hAnsi="Arial" w:cs="Arial"/>
          <w:lang w:eastAsia="ja-JP"/>
        </w:rPr>
        <w:t xml:space="preserve"> HO Command </w:t>
      </w:r>
      <w:r>
        <w:rPr>
          <w:rFonts w:ascii="Arial" w:hAnsi="Arial" w:cs="Arial"/>
          <w:lang w:eastAsia="ja-JP"/>
        </w:rPr>
        <w:t xml:space="preserve">is considered the initial applicability/inapplicability report </w:t>
      </w:r>
      <w:r w:rsidRPr="005D06F0">
        <w:rPr>
          <w:rFonts w:ascii="Arial" w:hAnsi="Arial" w:cs="Arial"/>
          <w:lang w:eastAsia="ja-JP"/>
        </w:rPr>
        <w:t xml:space="preserve">if the RRCReconfiguration contains </w:t>
      </w:r>
      <w:r>
        <w:rPr>
          <w:rFonts w:ascii="Arial" w:hAnsi="Arial" w:cs="Arial"/>
          <w:lang w:eastAsia="ja-JP"/>
        </w:rPr>
        <w:t xml:space="preserve">one or more </w:t>
      </w:r>
      <w:r w:rsidRPr="005D06F0">
        <w:rPr>
          <w:rFonts w:ascii="Arial" w:hAnsi="Arial" w:cs="Arial"/>
          <w:lang w:eastAsia="ja-JP"/>
        </w:rPr>
        <w:t>full inference configuration</w:t>
      </w:r>
      <w:r>
        <w:rPr>
          <w:rFonts w:ascii="Arial" w:hAnsi="Arial" w:cs="Arial"/>
          <w:lang w:eastAsia="ja-JP"/>
        </w:rPr>
        <w:t>s</w:t>
      </w:r>
      <w:r w:rsidRPr="005D06F0">
        <w:rPr>
          <w:rFonts w:ascii="Arial" w:hAnsi="Arial" w:cs="Arial"/>
          <w:lang w:eastAsia="ja-JP"/>
        </w:rPr>
        <w:t xml:space="preserve"> for applicability determination (option A) or</w:t>
      </w:r>
      <w:r>
        <w:rPr>
          <w:rFonts w:ascii="Arial" w:hAnsi="Arial" w:cs="Arial"/>
          <w:lang w:eastAsia="ja-JP"/>
        </w:rPr>
        <w:t xml:space="preserve"> one or more</w:t>
      </w:r>
      <w:r w:rsidRPr="005D06F0">
        <w:rPr>
          <w:rFonts w:ascii="Arial" w:hAnsi="Arial" w:cs="Arial"/>
          <w:lang w:eastAsia="ja-JP"/>
        </w:rPr>
        <w:t xml:space="preserve"> </w:t>
      </w:r>
      <w:r>
        <w:rPr>
          <w:rFonts w:ascii="Arial" w:hAnsi="Arial" w:cs="Arial"/>
          <w:lang w:eastAsia="ja-JP"/>
        </w:rPr>
        <w:t>inference-related</w:t>
      </w:r>
      <w:r w:rsidRPr="005D06F0">
        <w:rPr>
          <w:rFonts w:ascii="Arial" w:hAnsi="Arial" w:cs="Arial"/>
          <w:lang w:eastAsia="ja-JP"/>
        </w:rPr>
        <w:t xml:space="preserve"> parameter set</w:t>
      </w:r>
      <w:r>
        <w:rPr>
          <w:rFonts w:ascii="Arial" w:hAnsi="Arial" w:cs="Arial"/>
          <w:lang w:eastAsia="ja-JP"/>
        </w:rPr>
        <w:t>s</w:t>
      </w:r>
      <w:r w:rsidRPr="005D06F0">
        <w:rPr>
          <w:rFonts w:ascii="Arial" w:hAnsi="Arial" w:cs="Arial"/>
          <w:lang w:eastAsia="ja-JP"/>
        </w:rPr>
        <w:t xml:space="preserve"> for applicability determination (option B).   </w:t>
      </w:r>
    </w:p>
    <w:p w14:paraId="72AA56D0" w14:textId="77777777" w:rsidR="001B41B7" w:rsidRDefault="001B41B7" w:rsidP="001B41B7">
      <w:pPr>
        <w:pStyle w:val="BodyText"/>
        <w:spacing w:after="0"/>
        <w:jc w:val="left"/>
        <w:rPr>
          <w:rFonts w:ascii="Arial" w:hAnsi="Arial" w:cs="Arial"/>
          <w:b/>
          <w:bCs/>
          <w:lang w:eastAsia="ja-JP"/>
        </w:rPr>
      </w:pPr>
    </w:p>
    <w:p w14:paraId="7B6BD4CD" w14:textId="1EBF81EB" w:rsidR="001B41B7" w:rsidRPr="00C538B8" w:rsidRDefault="001B41B7" w:rsidP="001B41B7">
      <w:pPr>
        <w:pStyle w:val="BodyText"/>
        <w:spacing w:after="0"/>
        <w:jc w:val="left"/>
        <w:rPr>
          <w:rFonts w:ascii="Arial" w:hAnsi="Arial" w:cs="Arial"/>
          <w:b/>
          <w:bCs/>
          <w:lang w:eastAsia="ja-JP"/>
        </w:rPr>
      </w:pPr>
      <w:r w:rsidRPr="00C538B8">
        <w:rPr>
          <w:rFonts w:ascii="Arial" w:hAnsi="Arial" w:cs="Arial"/>
          <w:b/>
          <w:bCs/>
          <w:lang w:eastAsia="ja-JP"/>
        </w:rPr>
        <w:t>Observation</w:t>
      </w:r>
      <w:r>
        <w:rPr>
          <w:rFonts w:ascii="Arial" w:hAnsi="Arial" w:cs="Arial"/>
          <w:b/>
          <w:bCs/>
          <w:lang w:eastAsia="ja-JP"/>
        </w:rPr>
        <w:t xml:space="preserve"> 6</w:t>
      </w:r>
      <w:r w:rsidRPr="00C538B8">
        <w:rPr>
          <w:rFonts w:ascii="Arial" w:hAnsi="Arial" w:cs="Arial"/>
          <w:b/>
          <w:bCs/>
          <w:lang w:eastAsia="ja-JP"/>
        </w:rPr>
        <w:t>: The following can be considered as initial applicability and applicability reporting,</w:t>
      </w:r>
    </w:p>
    <w:p w14:paraId="72CFB913" w14:textId="77777777" w:rsidR="001B41B7" w:rsidRPr="00C538B8" w:rsidRDefault="001B41B7" w:rsidP="001B41B7">
      <w:pPr>
        <w:pStyle w:val="BodyText"/>
        <w:numPr>
          <w:ilvl w:val="0"/>
          <w:numId w:val="23"/>
        </w:numPr>
        <w:spacing w:after="0"/>
        <w:ind w:left="1224"/>
        <w:jc w:val="left"/>
        <w:rPr>
          <w:rFonts w:ascii="Arial" w:hAnsi="Arial" w:cs="Arial"/>
          <w:b/>
          <w:bCs/>
          <w:lang w:eastAsia="ja-JP"/>
        </w:rPr>
      </w:pPr>
      <w:r w:rsidRPr="00C538B8">
        <w:rPr>
          <w:rFonts w:ascii="Arial" w:hAnsi="Arial" w:cs="Arial"/>
          <w:b/>
          <w:bCs/>
          <w:lang w:eastAsia="ja-JP"/>
        </w:rPr>
        <w:t xml:space="preserve">The first applicability/inapplicability report sent after each RRCReconfiguration is considered the initial applicability/inapplicability report if the RRCReconfiguration contains one or more full inference configurations for applicability determination (option A) or one or more </w:t>
      </w:r>
      <w:r>
        <w:rPr>
          <w:rFonts w:ascii="Arial" w:hAnsi="Arial" w:cs="Arial"/>
          <w:b/>
          <w:bCs/>
          <w:lang w:eastAsia="ja-JP"/>
        </w:rPr>
        <w:t>inference-related</w:t>
      </w:r>
      <w:r w:rsidRPr="00C538B8">
        <w:rPr>
          <w:rFonts w:ascii="Arial" w:hAnsi="Arial" w:cs="Arial"/>
          <w:b/>
          <w:bCs/>
          <w:lang w:eastAsia="ja-JP"/>
        </w:rPr>
        <w:t xml:space="preserve"> parameter sets for applicability determination (option B), or </w:t>
      </w:r>
    </w:p>
    <w:p w14:paraId="25FC10CE" w14:textId="77777777" w:rsidR="001B41B7" w:rsidRPr="00C538B8" w:rsidRDefault="001B41B7" w:rsidP="001B41B7">
      <w:pPr>
        <w:pStyle w:val="BodyText"/>
        <w:numPr>
          <w:ilvl w:val="0"/>
          <w:numId w:val="23"/>
        </w:numPr>
        <w:spacing w:after="0"/>
        <w:ind w:left="1224"/>
        <w:jc w:val="left"/>
        <w:rPr>
          <w:rFonts w:ascii="Arial" w:hAnsi="Arial" w:cs="Arial"/>
          <w:b/>
          <w:bCs/>
          <w:lang w:eastAsia="ja-JP"/>
        </w:rPr>
      </w:pPr>
      <w:r w:rsidRPr="00C538B8">
        <w:rPr>
          <w:rFonts w:ascii="Arial" w:hAnsi="Arial" w:cs="Arial"/>
          <w:b/>
          <w:bCs/>
          <w:lang w:eastAsia="ja-JP"/>
        </w:rPr>
        <w:t xml:space="preserve">The first applicability/inapplicability report sent after each RRCReconfiguration containing </w:t>
      </w:r>
      <w:proofErr w:type="spellStart"/>
      <w:r w:rsidRPr="00C538B8">
        <w:rPr>
          <w:rFonts w:ascii="Arial" w:hAnsi="Arial" w:cs="Arial"/>
          <w:b/>
          <w:bCs/>
          <w:lang w:eastAsia="ja-JP"/>
        </w:rPr>
        <w:t>fullConfig</w:t>
      </w:r>
      <w:proofErr w:type="spellEnd"/>
      <w:r w:rsidRPr="00C538B8">
        <w:rPr>
          <w:rFonts w:ascii="Arial" w:hAnsi="Arial" w:cs="Arial"/>
          <w:b/>
          <w:bCs/>
          <w:lang w:eastAsia="ja-JP"/>
        </w:rPr>
        <w:t xml:space="preserve"> is considered the initial applicability/inapplicability report if the RRCReconfiguration contains one or more full inference configurations for applicability determination (option A) or </w:t>
      </w:r>
      <w:r>
        <w:rPr>
          <w:rFonts w:ascii="Arial" w:hAnsi="Arial" w:cs="Arial"/>
          <w:b/>
          <w:bCs/>
          <w:lang w:eastAsia="ja-JP"/>
        </w:rPr>
        <w:t>inference-related</w:t>
      </w:r>
      <w:r w:rsidRPr="00C538B8">
        <w:rPr>
          <w:rFonts w:ascii="Arial" w:hAnsi="Arial" w:cs="Arial"/>
          <w:b/>
          <w:bCs/>
          <w:lang w:eastAsia="ja-JP"/>
        </w:rPr>
        <w:t xml:space="preserve"> parameter sets for applicability determination (option B), or </w:t>
      </w:r>
    </w:p>
    <w:p w14:paraId="521D6EE6" w14:textId="77777777" w:rsidR="001B41B7" w:rsidRPr="00C538B8" w:rsidRDefault="001B41B7" w:rsidP="001B41B7">
      <w:pPr>
        <w:pStyle w:val="BodyText"/>
        <w:numPr>
          <w:ilvl w:val="0"/>
          <w:numId w:val="23"/>
        </w:numPr>
        <w:spacing w:after="0"/>
        <w:ind w:left="1224"/>
        <w:jc w:val="left"/>
        <w:rPr>
          <w:rFonts w:ascii="Arial" w:hAnsi="Arial" w:cs="Arial"/>
          <w:b/>
          <w:bCs/>
          <w:lang w:eastAsia="ja-JP"/>
        </w:rPr>
      </w:pPr>
      <w:r w:rsidRPr="00C538B8">
        <w:rPr>
          <w:rFonts w:ascii="Arial" w:hAnsi="Arial" w:cs="Arial"/>
          <w:b/>
          <w:bCs/>
          <w:lang w:eastAsia="ja-JP"/>
        </w:rPr>
        <w:t xml:space="preserve">The first applicability/inapplicability report sent after each RRCReconfiguration containing HO Command is considered the initial applicability/inapplicability report if the RRCReconfiguration contains one or more full inference configurations for applicability determination (option A) or one or more </w:t>
      </w:r>
      <w:r>
        <w:rPr>
          <w:rFonts w:ascii="Arial" w:hAnsi="Arial" w:cs="Arial"/>
          <w:b/>
          <w:bCs/>
          <w:lang w:eastAsia="ja-JP"/>
        </w:rPr>
        <w:t>inference-related</w:t>
      </w:r>
      <w:r w:rsidRPr="00C538B8">
        <w:rPr>
          <w:rFonts w:ascii="Arial" w:hAnsi="Arial" w:cs="Arial"/>
          <w:b/>
          <w:bCs/>
          <w:lang w:eastAsia="ja-JP"/>
        </w:rPr>
        <w:t xml:space="preserve"> parameter sets for applicability determination (option B).   </w:t>
      </w:r>
    </w:p>
    <w:p w14:paraId="4E345302" w14:textId="77777777" w:rsidR="001B41B7" w:rsidRDefault="001B41B7" w:rsidP="001B41B7">
      <w:pPr>
        <w:pStyle w:val="BodyText"/>
        <w:spacing w:after="0"/>
        <w:jc w:val="left"/>
        <w:rPr>
          <w:rFonts w:ascii="Arial" w:hAnsi="Arial" w:cs="Arial"/>
          <w:b/>
          <w:bCs/>
          <w:lang w:eastAsia="ja-JP"/>
        </w:rPr>
      </w:pPr>
    </w:p>
    <w:p w14:paraId="48614B51" w14:textId="77777777" w:rsidR="001B41B7" w:rsidRDefault="001B41B7" w:rsidP="001B41B7">
      <w:pPr>
        <w:pStyle w:val="BodyText"/>
        <w:spacing w:after="0"/>
        <w:jc w:val="left"/>
        <w:rPr>
          <w:rFonts w:ascii="Arial" w:hAnsi="Arial" w:cs="Arial"/>
          <w:lang w:eastAsia="ja-JP"/>
        </w:rPr>
      </w:pPr>
      <w:r w:rsidRPr="00A222E4">
        <w:rPr>
          <w:rFonts w:ascii="Arial" w:hAnsi="Arial" w:cs="Arial"/>
          <w:lang w:eastAsia="ja-JP"/>
        </w:rPr>
        <w:t xml:space="preserve">In option 2 and option 3, if the RRCReconfiguration </w:t>
      </w:r>
      <w:r>
        <w:rPr>
          <w:rFonts w:ascii="Arial" w:hAnsi="Arial" w:cs="Arial"/>
          <w:lang w:eastAsia="ja-JP"/>
        </w:rPr>
        <w:t>containing</w:t>
      </w:r>
      <w:r w:rsidRPr="00A222E4">
        <w:rPr>
          <w:rFonts w:ascii="Arial" w:hAnsi="Arial" w:cs="Arial"/>
          <w:lang w:eastAsia="ja-JP"/>
        </w:rPr>
        <w:t xml:space="preserve"> </w:t>
      </w:r>
      <w:proofErr w:type="spellStart"/>
      <w:r w:rsidRPr="00A222E4">
        <w:rPr>
          <w:rFonts w:ascii="Arial" w:hAnsi="Arial" w:cs="Arial"/>
          <w:lang w:eastAsia="ja-JP"/>
        </w:rPr>
        <w:t>fullConfig</w:t>
      </w:r>
      <w:proofErr w:type="spellEnd"/>
      <w:r w:rsidRPr="00A222E4">
        <w:rPr>
          <w:rFonts w:ascii="Arial" w:hAnsi="Arial" w:cs="Arial"/>
          <w:lang w:eastAsia="ja-JP"/>
        </w:rPr>
        <w:t xml:space="preserve"> or RRCReconfiguration </w:t>
      </w:r>
      <w:r>
        <w:rPr>
          <w:rFonts w:ascii="Arial" w:hAnsi="Arial" w:cs="Arial"/>
          <w:lang w:eastAsia="ja-JP"/>
        </w:rPr>
        <w:t>containing</w:t>
      </w:r>
      <w:r w:rsidRPr="00A222E4">
        <w:rPr>
          <w:rFonts w:ascii="Arial" w:hAnsi="Arial" w:cs="Arial"/>
          <w:lang w:eastAsia="ja-JP"/>
        </w:rPr>
        <w:t xml:space="preserve"> HO Command does not </w:t>
      </w:r>
      <w:r>
        <w:rPr>
          <w:rFonts w:ascii="Arial" w:hAnsi="Arial" w:cs="Arial"/>
          <w:lang w:eastAsia="ja-JP"/>
        </w:rPr>
        <w:t>contain one or more</w:t>
      </w:r>
      <w:r w:rsidRPr="00A222E4">
        <w:rPr>
          <w:rFonts w:ascii="Arial" w:hAnsi="Arial" w:cs="Arial"/>
          <w:lang w:eastAsia="ja-JP"/>
        </w:rPr>
        <w:t xml:space="preserve"> full inference configuration</w:t>
      </w:r>
      <w:r>
        <w:rPr>
          <w:rFonts w:ascii="Arial" w:hAnsi="Arial" w:cs="Arial"/>
          <w:lang w:eastAsia="ja-JP"/>
        </w:rPr>
        <w:t>s</w:t>
      </w:r>
      <w:r w:rsidRPr="00A222E4">
        <w:rPr>
          <w:rFonts w:ascii="Arial" w:hAnsi="Arial" w:cs="Arial"/>
          <w:lang w:eastAsia="ja-JP"/>
        </w:rPr>
        <w:t xml:space="preserve"> for applicability determination (option A) or </w:t>
      </w:r>
      <w:r>
        <w:rPr>
          <w:rFonts w:ascii="Arial" w:hAnsi="Arial" w:cs="Arial"/>
          <w:lang w:eastAsia="ja-JP"/>
        </w:rPr>
        <w:t xml:space="preserve">one or more </w:t>
      </w:r>
      <w:r w:rsidRPr="00A222E4">
        <w:rPr>
          <w:rFonts w:ascii="Arial" w:hAnsi="Arial" w:cs="Arial"/>
          <w:lang w:eastAsia="ja-JP"/>
        </w:rPr>
        <w:t>inference related parameter set</w:t>
      </w:r>
      <w:r>
        <w:rPr>
          <w:rFonts w:ascii="Arial" w:hAnsi="Arial" w:cs="Arial"/>
          <w:lang w:eastAsia="ja-JP"/>
        </w:rPr>
        <w:t>s</w:t>
      </w:r>
      <w:r w:rsidRPr="00A222E4">
        <w:rPr>
          <w:rFonts w:ascii="Arial" w:hAnsi="Arial" w:cs="Arial"/>
          <w:lang w:eastAsia="ja-JP"/>
        </w:rPr>
        <w:t xml:space="preserve"> for applicability determination (option B), then the reference of initial applicability/inapplicability reporting is not clear. Therefore, we think </w:t>
      </w:r>
      <w:r>
        <w:rPr>
          <w:rFonts w:ascii="Arial" w:hAnsi="Arial" w:cs="Arial"/>
          <w:lang w:eastAsia="ja-JP"/>
        </w:rPr>
        <w:t xml:space="preserve">that </w:t>
      </w:r>
      <w:r w:rsidRPr="00A222E4">
        <w:rPr>
          <w:rFonts w:ascii="Arial" w:hAnsi="Arial" w:cs="Arial"/>
          <w:lang w:eastAsia="ja-JP"/>
        </w:rPr>
        <w:t xml:space="preserve">the first applicability/inapplicability report sent after each RRCReconfiguration </w:t>
      </w:r>
      <w:r w:rsidRPr="00A222E4">
        <w:rPr>
          <w:rFonts w:ascii="Arial" w:hAnsi="Arial" w:cs="Arial"/>
          <w:lang w:eastAsia="ja-JP"/>
        </w:rPr>
        <w:lastRenderedPageBreak/>
        <w:t xml:space="preserve">is considered as </w:t>
      </w:r>
      <w:r>
        <w:rPr>
          <w:rFonts w:ascii="Arial" w:hAnsi="Arial" w:cs="Arial"/>
          <w:lang w:eastAsia="ja-JP"/>
        </w:rPr>
        <w:t>the initial</w:t>
      </w:r>
      <w:r w:rsidRPr="00A222E4">
        <w:rPr>
          <w:rFonts w:ascii="Arial" w:hAnsi="Arial" w:cs="Arial"/>
          <w:lang w:eastAsia="ja-JP"/>
        </w:rPr>
        <w:t xml:space="preserve"> applicability/inapplicability report if the RRCReconfiguration contains </w:t>
      </w:r>
      <w:r>
        <w:rPr>
          <w:rFonts w:ascii="Arial" w:hAnsi="Arial" w:cs="Arial"/>
          <w:lang w:eastAsia="ja-JP"/>
        </w:rPr>
        <w:t xml:space="preserve">one or more </w:t>
      </w:r>
      <w:r w:rsidRPr="00A222E4">
        <w:rPr>
          <w:rFonts w:ascii="Arial" w:hAnsi="Arial" w:cs="Arial"/>
          <w:lang w:eastAsia="ja-JP"/>
        </w:rPr>
        <w:t>full inference configuration</w:t>
      </w:r>
      <w:r>
        <w:rPr>
          <w:rFonts w:ascii="Arial" w:hAnsi="Arial" w:cs="Arial"/>
          <w:lang w:eastAsia="ja-JP"/>
        </w:rPr>
        <w:t>s</w:t>
      </w:r>
      <w:r w:rsidRPr="00A222E4">
        <w:rPr>
          <w:rFonts w:ascii="Arial" w:hAnsi="Arial" w:cs="Arial"/>
          <w:lang w:eastAsia="ja-JP"/>
        </w:rPr>
        <w:t xml:space="preserve"> for applicability determination (option A) or </w:t>
      </w:r>
      <w:r>
        <w:rPr>
          <w:rFonts w:ascii="Arial" w:hAnsi="Arial" w:cs="Arial"/>
          <w:lang w:eastAsia="ja-JP"/>
        </w:rPr>
        <w:t xml:space="preserve">one or more </w:t>
      </w:r>
      <w:r w:rsidRPr="00A222E4">
        <w:rPr>
          <w:rFonts w:ascii="Arial" w:hAnsi="Arial" w:cs="Arial"/>
          <w:lang w:eastAsia="ja-JP"/>
        </w:rPr>
        <w:t>inference related parameter set</w:t>
      </w:r>
      <w:r>
        <w:rPr>
          <w:rFonts w:ascii="Arial" w:hAnsi="Arial" w:cs="Arial"/>
          <w:lang w:eastAsia="ja-JP"/>
        </w:rPr>
        <w:t>s</w:t>
      </w:r>
      <w:r w:rsidRPr="00A222E4">
        <w:rPr>
          <w:rFonts w:ascii="Arial" w:hAnsi="Arial" w:cs="Arial"/>
          <w:lang w:eastAsia="ja-JP"/>
        </w:rPr>
        <w:t xml:space="preserve"> for applicability determination (option B). </w:t>
      </w:r>
      <w:r>
        <w:rPr>
          <w:rFonts w:ascii="Arial" w:hAnsi="Arial" w:cs="Arial"/>
          <w:lang w:eastAsia="ja-JP"/>
        </w:rPr>
        <w:t xml:space="preserve">Furthermore, if the RRCReconfiguration does not contain a </w:t>
      </w:r>
      <w:r w:rsidRPr="00A222E4">
        <w:rPr>
          <w:rFonts w:ascii="Arial" w:hAnsi="Arial" w:cs="Arial"/>
          <w:lang w:eastAsia="ja-JP"/>
        </w:rPr>
        <w:t>full inference configuration for applicability determination (option A) or inference</w:t>
      </w:r>
      <w:r>
        <w:rPr>
          <w:rFonts w:ascii="Arial" w:hAnsi="Arial" w:cs="Arial"/>
          <w:lang w:eastAsia="ja-JP"/>
        </w:rPr>
        <w:t>-</w:t>
      </w:r>
      <w:r w:rsidRPr="00A222E4">
        <w:rPr>
          <w:rFonts w:ascii="Arial" w:hAnsi="Arial" w:cs="Arial"/>
          <w:lang w:eastAsia="ja-JP"/>
        </w:rPr>
        <w:t>related parameter set for applicability determination (option B)</w:t>
      </w:r>
      <w:r>
        <w:rPr>
          <w:rFonts w:ascii="Arial" w:hAnsi="Arial" w:cs="Arial"/>
          <w:lang w:eastAsia="ja-JP"/>
        </w:rPr>
        <w:t xml:space="preserve"> or contains </w:t>
      </w:r>
      <w:r w:rsidRPr="00A222E4">
        <w:rPr>
          <w:rFonts w:ascii="Arial" w:hAnsi="Arial" w:cs="Arial"/>
          <w:lang w:eastAsia="ja-JP"/>
        </w:rPr>
        <w:t xml:space="preserve">full inference configuration (option </w:t>
      </w:r>
      <w:r>
        <w:rPr>
          <w:rFonts w:ascii="Arial" w:hAnsi="Arial" w:cs="Arial"/>
          <w:lang w:eastAsia="ja-JP"/>
        </w:rPr>
        <w:t>B</w:t>
      </w:r>
      <w:r w:rsidRPr="00A222E4">
        <w:rPr>
          <w:rFonts w:ascii="Arial" w:hAnsi="Arial" w:cs="Arial"/>
          <w:lang w:eastAsia="ja-JP"/>
        </w:rPr>
        <w:t>)</w:t>
      </w:r>
      <w:r>
        <w:rPr>
          <w:rFonts w:ascii="Arial" w:hAnsi="Arial" w:cs="Arial"/>
          <w:lang w:eastAsia="ja-JP"/>
        </w:rPr>
        <w:t xml:space="preserve">, then the first </w:t>
      </w:r>
      <w:r w:rsidRPr="00A222E4">
        <w:rPr>
          <w:rFonts w:ascii="Arial" w:hAnsi="Arial" w:cs="Arial"/>
          <w:lang w:eastAsia="ja-JP"/>
        </w:rPr>
        <w:t xml:space="preserve">applicability/inapplicability report </w:t>
      </w:r>
      <w:r>
        <w:rPr>
          <w:rFonts w:ascii="Arial" w:hAnsi="Arial" w:cs="Arial"/>
          <w:lang w:eastAsia="ja-JP"/>
        </w:rPr>
        <w:t xml:space="preserve">sent after such RRCReconfiguration is not considered as an initial </w:t>
      </w:r>
      <w:r w:rsidRPr="00A222E4">
        <w:rPr>
          <w:rFonts w:ascii="Arial" w:hAnsi="Arial" w:cs="Arial"/>
          <w:lang w:eastAsia="ja-JP"/>
        </w:rPr>
        <w:t>applicability/inapplicability report</w:t>
      </w:r>
      <w:r>
        <w:rPr>
          <w:rFonts w:ascii="Arial" w:hAnsi="Arial" w:cs="Arial"/>
          <w:lang w:eastAsia="ja-JP"/>
        </w:rPr>
        <w:t xml:space="preserve">. UE can send the change in applicability in the </w:t>
      </w:r>
      <w:proofErr w:type="spellStart"/>
      <w:r>
        <w:rPr>
          <w:rFonts w:ascii="Arial" w:hAnsi="Arial" w:cs="Arial"/>
          <w:lang w:eastAsia="ja-JP"/>
        </w:rPr>
        <w:t>RRCReconfigurationComplete</w:t>
      </w:r>
      <w:proofErr w:type="spellEnd"/>
      <w:r>
        <w:rPr>
          <w:rFonts w:ascii="Arial" w:hAnsi="Arial" w:cs="Arial"/>
          <w:lang w:eastAsia="ja-JP"/>
        </w:rPr>
        <w:t xml:space="preserve"> (for one or more </w:t>
      </w:r>
      <w:r w:rsidRPr="00A222E4">
        <w:rPr>
          <w:rFonts w:ascii="Arial" w:hAnsi="Arial" w:cs="Arial"/>
          <w:lang w:eastAsia="ja-JP"/>
        </w:rPr>
        <w:t>full inference configuration</w:t>
      </w:r>
      <w:r>
        <w:rPr>
          <w:rFonts w:ascii="Arial" w:hAnsi="Arial" w:cs="Arial"/>
          <w:lang w:eastAsia="ja-JP"/>
        </w:rPr>
        <w:t>s</w:t>
      </w:r>
      <w:r w:rsidRPr="00A222E4">
        <w:rPr>
          <w:rFonts w:ascii="Arial" w:hAnsi="Arial" w:cs="Arial"/>
          <w:lang w:eastAsia="ja-JP"/>
        </w:rPr>
        <w:t xml:space="preserve"> for applicability determination (option A) or </w:t>
      </w:r>
      <w:r>
        <w:rPr>
          <w:rFonts w:ascii="Arial" w:hAnsi="Arial" w:cs="Arial"/>
          <w:lang w:eastAsia="ja-JP"/>
        </w:rPr>
        <w:t xml:space="preserve">one or more </w:t>
      </w:r>
      <w:r w:rsidRPr="00A222E4">
        <w:rPr>
          <w:rFonts w:ascii="Arial" w:hAnsi="Arial" w:cs="Arial"/>
          <w:lang w:eastAsia="ja-JP"/>
        </w:rPr>
        <w:t>inference related parameter set</w:t>
      </w:r>
      <w:r>
        <w:rPr>
          <w:rFonts w:ascii="Arial" w:hAnsi="Arial" w:cs="Arial"/>
          <w:lang w:eastAsia="ja-JP"/>
        </w:rPr>
        <w:t>s</w:t>
      </w:r>
      <w:r w:rsidRPr="00A222E4">
        <w:rPr>
          <w:rFonts w:ascii="Arial" w:hAnsi="Arial" w:cs="Arial"/>
          <w:lang w:eastAsia="ja-JP"/>
        </w:rPr>
        <w:t xml:space="preserve"> for applicability determination (option B)</w:t>
      </w:r>
      <w:r>
        <w:rPr>
          <w:rFonts w:ascii="Arial" w:hAnsi="Arial" w:cs="Arial"/>
          <w:lang w:eastAsia="ja-JP"/>
        </w:rPr>
        <w:t xml:space="preserve"> configured by earlier </w:t>
      </w:r>
      <w:proofErr w:type="spellStart"/>
      <w:r>
        <w:rPr>
          <w:rFonts w:ascii="Arial" w:hAnsi="Arial" w:cs="Arial"/>
          <w:lang w:eastAsia="ja-JP"/>
        </w:rPr>
        <w:t>RRCReconfigurations</w:t>
      </w:r>
      <w:proofErr w:type="spellEnd"/>
      <w:r>
        <w:rPr>
          <w:rFonts w:ascii="Arial" w:hAnsi="Arial" w:cs="Arial"/>
          <w:lang w:eastAsia="ja-JP"/>
        </w:rPr>
        <w:t>).</w:t>
      </w:r>
    </w:p>
    <w:p w14:paraId="5793493A" w14:textId="77777777" w:rsidR="001B41B7" w:rsidRDefault="001B41B7" w:rsidP="001B41B7">
      <w:pPr>
        <w:pStyle w:val="BodyText"/>
        <w:spacing w:after="0"/>
        <w:jc w:val="left"/>
        <w:rPr>
          <w:rFonts w:ascii="Arial" w:hAnsi="Arial" w:cs="Arial"/>
          <w:lang w:eastAsia="ja-JP"/>
        </w:rPr>
      </w:pPr>
    </w:p>
    <w:p w14:paraId="486D1800" w14:textId="6B19E118" w:rsidR="001B41B7" w:rsidRPr="00A222E4" w:rsidRDefault="001B41B7" w:rsidP="001B41B7">
      <w:pPr>
        <w:pStyle w:val="BodyText"/>
        <w:spacing w:after="0"/>
        <w:jc w:val="left"/>
        <w:rPr>
          <w:rFonts w:ascii="Arial" w:hAnsi="Arial" w:cs="Arial"/>
          <w:b/>
          <w:bCs/>
          <w:lang w:eastAsia="ja-JP"/>
        </w:rPr>
      </w:pPr>
      <w:r>
        <w:rPr>
          <w:rFonts w:ascii="Arial" w:hAnsi="Arial" w:cs="Arial"/>
          <w:b/>
          <w:bCs/>
          <w:lang w:eastAsia="ja-JP"/>
        </w:rPr>
        <w:t>Proposal</w:t>
      </w:r>
      <w:r w:rsidR="00230325">
        <w:rPr>
          <w:rFonts w:ascii="Arial" w:hAnsi="Arial" w:cs="Arial"/>
          <w:b/>
          <w:bCs/>
          <w:lang w:eastAsia="ja-JP"/>
        </w:rPr>
        <w:t xml:space="preserve"> 5</w:t>
      </w:r>
      <w:r>
        <w:rPr>
          <w:rFonts w:ascii="Arial" w:hAnsi="Arial" w:cs="Arial"/>
          <w:b/>
          <w:bCs/>
          <w:lang w:eastAsia="ja-JP"/>
        </w:rPr>
        <w:t>: The</w:t>
      </w:r>
      <w:r w:rsidRPr="00A222E4">
        <w:rPr>
          <w:rFonts w:ascii="Arial" w:hAnsi="Arial" w:cs="Arial"/>
          <w:b/>
          <w:bCs/>
          <w:lang w:eastAsia="ja-JP"/>
        </w:rPr>
        <w:t xml:space="preserve"> first applicability/inapplicability report sent after each RRCReconfiguration is considered </w:t>
      </w:r>
      <w:r>
        <w:rPr>
          <w:rFonts w:ascii="Arial" w:hAnsi="Arial" w:cs="Arial"/>
          <w:b/>
          <w:bCs/>
          <w:lang w:eastAsia="ja-JP"/>
        </w:rPr>
        <w:t>an</w:t>
      </w:r>
      <w:r w:rsidRPr="00A222E4">
        <w:rPr>
          <w:rFonts w:ascii="Arial" w:hAnsi="Arial" w:cs="Arial"/>
          <w:b/>
          <w:bCs/>
          <w:lang w:eastAsia="ja-JP"/>
        </w:rPr>
        <w:t xml:space="preserve"> initial applicability/inapplicability report if the RRCReconfiguration contains </w:t>
      </w:r>
      <w:r>
        <w:rPr>
          <w:rFonts w:ascii="Arial" w:hAnsi="Arial" w:cs="Arial"/>
          <w:b/>
          <w:bCs/>
          <w:lang w:eastAsia="ja-JP"/>
        </w:rPr>
        <w:t xml:space="preserve">one or more </w:t>
      </w:r>
      <w:r w:rsidRPr="00A222E4">
        <w:rPr>
          <w:rFonts w:ascii="Arial" w:hAnsi="Arial" w:cs="Arial"/>
          <w:b/>
          <w:bCs/>
          <w:lang w:eastAsia="ja-JP"/>
        </w:rPr>
        <w:t>full inference configuration</w:t>
      </w:r>
      <w:r>
        <w:rPr>
          <w:rFonts w:ascii="Arial" w:hAnsi="Arial" w:cs="Arial"/>
          <w:b/>
          <w:bCs/>
          <w:lang w:eastAsia="ja-JP"/>
        </w:rPr>
        <w:t>s</w:t>
      </w:r>
      <w:r w:rsidRPr="00A222E4">
        <w:rPr>
          <w:rFonts w:ascii="Arial" w:hAnsi="Arial" w:cs="Arial"/>
          <w:b/>
          <w:bCs/>
          <w:lang w:eastAsia="ja-JP"/>
        </w:rPr>
        <w:t xml:space="preserve"> for applicability determination (option A) or </w:t>
      </w:r>
      <w:r>
        <w:rPr>
          <w:rFonts w:ascii="Arial" w:hAnsi="Arial" w:cs="Arial"/>
          <w:b/>
          <w:bCs/>
          <w:lang w:eastAsia="ja-JP"/>
        </w:rPr>
        <w:t>one or more inference-related</w:t>
      </w:r>
      <w:r w:rsidRPr="00A222E4">
        <w:rPr>
          <w:rFonts w:ascii="Arial" w:hAnsi="Arial" w:cs="Arial"/>
          <w:b/>
          <w:bCs/>
          <w:lang w:eastAsia="ja-JP"/>
        </w:rPr>
        <w:t xml:space="preserve"> parameter set</w:t>
      </w:r>
      <w:r>
        <w:rPr>
          <w:rFonts w:ascii="Arial" w:hAnsi="Arial" w:cs="Arial"/>
          <w:b/>
          <w:bCs/>
          <w:lang w:eastAsia="ja-JP"/>
        </w:rPr>
        <w:t>s</w:t>
      </w:r>
      <w:r w:rsidRPr="00A222E4">
        <w:rPr>
          <w:rFonts w:ascii="Arial" w:hAnsi="Arial" w:cs="Arial"/>
          <w:b/>
          <w:bCs/>
          <w:lang w:eastAsia="ja-JP"/>
        </w:rPr>
        <w:t xml:space="preserve"> for applicability determination (option B).</w:t>
      </w:r>
    </w:p>
    <w:p w14:paraId="1C3EA15A" w14:textId="77777777" w:rsidR="001B41B7" w:rsidRDefault="001B41B7" w:rsidP="001B41B7">
      <w:pPr>
        <w:pStyle w:val="BodyText"/>
        <w:numPr>
          <w:ilvl w:val="0"/>
          <w:numId w:val="21"/>
        </w:numPr>
        <w:spacing w:after="0"/>
        <w:jc w:val="left"/>
        <w:rPr>
          <w:rFonts w:ascii="Arial" w:hAnsi="Arial" w:cs="Arial"/>
          <w:b/>
          <w:bCs/>
          <w:lang w:eastAsia="ja-JP"/>
        </w:rPr>
      </w:pPr>
      <w:r w:rsidRPr="00A222E4">
        <w:rPr>
          <w:rFonts w:ascii="Arial" w:hAnsi="Arial" w:cs="Arial"/>
          <w:b/>
          <w:bCs/>
          <w:lang w:eastAsia="ja-JP"/>
        </w:rPr>
        <w:t>If the RRCReconfiguration does not contain full inference configuration for applicability determination (option A) or inference related parameter set for applicability determination (option B)</w:t>
      </w:r>
      <w:r>
        <w:rPr>
          <w:rFonts w:ascii="Arial" w:hAnsi="Arial" w:cs="Arial"/>
          <w:b/>
          <w:bCs/>
          <w:lang w:eastAsia="ja-JP"/>
        </w:rPr>
        <w:t>,</w:t>
      </w:r>
      <w:r w:rsidRPr="00A222E4">
        <w:rPr>
          <w:rFonts w:ascii="Arial" w:hAnsi="Arial" w:cs="Arial"/>
          <w:b/>
          <w:bCs/>
          <w:lang w:eastAsia="ja-JP"/>
        </w:rPr>
        <w:t xml:space="preserve"> or contains full inference configuration (option B), then </w:t>
      </w:r>
      <w:r>
        <w:rPr>
          <w:rFonts w:ascii="Arial" w:hAnsi="Arial" w:cs="Arial"/>
          <w:b/>
          <w:bCs/>
          <w:lang w:eastAsia="ja-JP"/>
        </w:rPr>
        <w:t xml:space="preserve">the </w:t>
      </w:r>
      <w:r w:rsidRPr="00A222E4">
        <w:rPr>
          <w:rFonts w:ascii="Arial" w:hAnsi="Arial" w:cs="Arial"/>
          <w:b/>
          <w:bCs/>
          <w:lang w:eastAsia="ja-JP"/>
        </w:rPr>
        <w:t xml:space="preserve">first applicability/inapplicability report sent after such RRCReconfiguration is not considered as </w:t>
      </w:r>
      <w:r>
        <w:rPr>
          <w:rFonts w:ascii="Arial" w:hAnsi="Arial" w:cs="Arial"/>
          <w:b/>
          <w:bCs/>
          <w:lang w:eastAsia="ja-JP"/>
        </w:rPr>
        <w:t>the initial</w:t>
      </w:r>
      <w:r w:rsidRPr="00A222E4">
        <w:rPr>
          <w:rFonts w:ascii="Arial" w:hAnsi="Arial" w:cs="Arial"/>
          <w:b/>
          <w:bCs/>
          <w:lang w:eastAsia="ja-JP"/>
        </w:rPr>
        <w:t xml:space="preserve"> applicability/inapplicability report. </w:t>
      </w:r>
    </w:p>
    <w:p w14:paraId="29C0BC02" w14:textId="77777777" w:rsidR="001B41B7" w:rsidRDefault="001B41B7" w:rsidP="001B41B7">
      <w:pPr>
        <w:pStyle w:val="BodyText"/>
        <w:spacing w:after="0"/>
        <w:jc w:val="left"/>
        <w:rPr>
          <w:rFonts w:ascii="Arial" w:hAnsi="Arial" w:cs="Arial"/>
          <w:b/>
          <w:bCs/>
          <w:lang w:eastAsia="ja-JP"/>
        </w:rPr>
      </w:pPr>
    </w:p>
    <w:p w14:paraId="61F9690C" w14:textId="77777777" w:rsidR="001B41B7" w:rsidRPr="00586641" w:rsidRDefault="001B41B7" w:rsidP="001B41B7">
      <w:pPr>
        <w:pStyle w:val="BodyText"/>
        <w:jc w:val="left"/>
        <w:outlineLvl w:val="3"/>
        <w:rPr>
          <w:rFonts w:ascii="Arial" w:hAnsi="Arial" w:cs="Arial"/>
          <w:b/>
          <w:bCs/>
          <w:lang w:eastAsia="ja-JP"/>
        </w:rPr>
      </w:pPr>
      <w:r w:rsidRPr="00586641">
        <w:rPr>
          <w:rFonts w:ascii="Arial" w:hAnsi="Arial" w:cs="Arial"/>
          <w:b/>
          <w:bCs/>
        </w:rPr>
        <w:t xml:space="preserve">2.1.3.2 </w:t>
      </w:r>
      <w:r>
        <w:rPr>
          <w:rFonts w:ascii="Arial" w:hAnsi="Arial" w:cs="Arial"/>
          <w:b/>
          <w:bCs/>
        </w:rPr>
        <w:tab/>
        <w:t>I</w:t>
      </w:r>
      <w:r w:rsidRPr="00586641">
        <w:rPr>
          <w:rFonts w:ascii="Arial" w:hAnsi="Arial" w:cs="Arial"/>
          <w:b/>
          <w:bCs/>
        </w:rPr>
        <w:t xml:space="preserve">nitial </w:t>
      </w:r>
      <w:r>
        <w:rPr>
          <w:rFonts w:ascii="Arial" w:hAnsi="Arial" w:cs="Arial"/>
          <w:b/>
          <w:bCs/>
        </w:rPr>
        <w:t>A</w:t>
      </w:r>
      <w:r w:rsidRPr="00586641">
        <w:rPr>
          <w:rFonts w:ascii="Arial" w:hAnsi="Arial" w:cs="Arial"/>
          <w:b/>
          <w:bCs/>
        </w:rPr>
        <w:t>pplicability/</w:t>
      </w:r>
      <w:r>
        <w:rPr>
          <w:rFonts w:ascii="Arial" w:hAnsi="Arial" w:cs="Arial"/>
          <w:b/>
          <w:bCs/>
        </w:rPr>
        <w:t>I</w:t>
      </w:r>
      <w:r w:rsidRPr="00586641">
        <w:rPr>
          <w:rFonts w:ascii="Arial" w:hAnsi="Arial" w:cs="Arial"/>
          <w:b/>
          <w:bCs/>
        </w:rPr>
        <w:t xml:space="preserve">napplicability </w:t>
      </w:r>
      <w:r>
        <w:rPr>
          <w:rFonts w:ascii="Arial" w:hAnsi="Arial" w:cs="Arial"/>
          <w:b/>
          <w:bCs/>
        </w:rPr>
        <w:t>R</w:t>
      </w:r>
      <w:r w:rsidRPr="00586641">
        <w:rPr>
          <w:rFonts w:ascii="Arial" w:hAnsi="Arial" w:cs="Arial"/>
          <w:b/>
          <w:bCs/>
        </w:rPr>
        <w:t>eport</w:t>
      </w:r>
      <w:r>
        <w:rPr>
          <w:rFonts w:ascii="Arial" w:hAnsi="Arial" w:cs="Arial"/>
          <w:b/>
          <w:bCs/>
        </w:rPr>
        <w:t xml:space="preserve"> Contents</w:t>
      </w:r>
    </w:p>
    <w:p w14:paraId="383FE6C6" w14:textId="77777777" w:rsidR="001B41B7" w:rsidRDefault="001B41B7" w:rsidP="001B41B7">
      <w:pPr>
        <w:pStyle w:val="BodyText"/>
        <w:spacing w:after="0"/>
        <w:jc w:val="left"/>
        <w:rPr>
          <w:rFonts w:ascii="Arial" w:hAnsi="Arial" w:cs="Arial"/>
          <w:lang w:eastAsia="ja-JP"/>
        </w:rPr>
      </w:pPr>
      <w:r>
        <w:rPr>
          <w:rFonts w:ascii="Arial" w:hAnsi="Arial" w:cs="Arial"/>
          <w:lang w:eastAsia="ja-JP"/>
        </w:rPr>
        <w:t xml:space="preserve">Note that UE may have one or more </w:t>
      </w:r>
      <w:r w:rsidRPr="008D0F28">
        <w:rPr>
          <w:rFonts w:ascii="Arial" w:hAnsi="Arial" w:cs="Arial"/>
          <w:lang w:eastAsia="ja-JP"/>
        </w:rPr>
        <w:t>inference configuration</w:t>
      </w:r>
      <w:r>
        <w:rPr>
          <w:rFonts w:ascii="Arial" w:hAnsi="Arial" w:cs="Arial"/>
          <w:lang w:eastAsia="ja-JP"/>
        </w:rPr>
        <w:t>s</w:t>
      </w:r>
      <w:r w:rsidRPr="008D0F28">
        <w:rPr>
          <w:rFonts w:ascii="Arial" w:hAnsi="Arial" w:cs="Arial"/>
          <w:lang w:eastAsia="ja-JP"/>
        </w:rPr>
        <w:t xml:space="preserve"> for applicability determination (option </w:t>
      </w:r>
      <w:r>
        <w:rPr>
          <w:rFonts w:ascii="Arial" w:hAnsi="Arial" w:cs="Arial"/>
          <w:lang w:eastAsia="ja-JP"/>
        </w:rPr>
        <w:t>A), one</w:t>
      </w:r>
      <w:r w:rsidRPr="008D0F28">
        <w:rPr>
          <w:rFonts w:ascii="Arial" w:hAnsi="Arial" w:cs="Arial"/>
          <w:lang w:eastAsia="ja-JP"/>
        </w:rPr>
        <w:t xml:space="preserve"> or more inference configuration</w:t>
      </w:r>
      <w:r>
        <w:rPr>
          <w:rFonts w:ascii="Arial" w:hAnsi="Arial" w:cs="Arial"/>
          <w:lang w:eastAsia="ja-JP"/>
        </w:rPr>
        <w:t>s</w:t>
      </w:r>
      <w:r w:rsidRPr="008D0F28">
        <w:rPr>
          <w:rFonts w:ascii="Arial" w:hAnsi="Arial" w:cs="Arial"/>
          <w:lang w:eastAsia="ja-JP"/>
        </w:rPr>
        <w:t xml:space="preserve"> for inference (option B), or </w:t>
      </w:r>
      <w:r>
        <w:rPr>
          <w:rFonts w:ascii="Arial" w:hAnsi="Arial" w:cs="Arial"/>
          <w:lang w:eastAsia="ja-JP"/>
        </w:rPr>
        <w:t xml:space="preserve">one or more </w:t>
      </w:r>
      <w:r w:rsidRPr="008D0F28">
        <w:rPr>
          <w:rFonts w:ascii="Arial" w:hAnsi="Arial" w:cs="Arial"/>
          <w:lang w:eastAsia="ja-JP"/>
        </w:rPr>
        <w:t>inference related parameter set</w:t>
      </w:r>
      <w:r>
        <w:rPr>
          <w:rFonts w:ascii="Arial" w:hAnsi="Arial" w:cs="Arial"/>
          <w:lang w:eastAsia="ja-JP"/>
        </w:rPr>
        <w:t>s</w:t>
      </w:r>
      <w:r w:rsidRPr="008D0F28">
        <w:rPr>
          <w:rFonts w:ascii="Arial" w:hAnsi="Arial" w:cs="Arial"/>
          <w:lang w:eastAsia="ja-JP"/>
        </w:rPr>
        <w:t xml:space="preserve"> for applicability determination (option B) configured by previous </w:t>
      </w:r>
      <w:proofErr w:type="spellStart"/>
      <w:r w:rsidRPr="008D0F28">
        <w:rPr>
          <w:rFonts w:ascii="Arial" w:hAnsi="Arial" w:cs="Arial"/>
          <w:lang w:eastAsia="ja-JP"/>
        </w:rPr>
        <w:t>RRCReconfiguration</w:t>
      </w:r>
      <w:r>
        <w:rPr>
          <w:rFonts w:ascii="Arial" w:hAnsi="Arial" w:cs="Arial"/>
          <w:lang w:eastAsia="ja-JP"/>
        </w:rPr>
        <w:t>s</w:t>
      </w:r>
      <w:proofErr w:type="spellEnd"/>
      <w:r>
        <w:rPr>
          <w:rFonts w:ascii="Arial" w:hAnsi="Arial" w:cs="Arial"/>
          <w:lang w:eastAsia="ja-JP"/>
        </w:rPr>
        <w:t xml:space="preserve">. When sending the first applicability/inapplicability report after the latest RRCReconfiguration, the UE can report the change in the applicability of one or more </w:t>
      </w:r>
      <w:r w:rsidRPr="008D0F28">
        <w:rPr>
          <w:rFonts w:ascii="Arial" w:hAnsi="Arial" w:cs="Arial"/>
          <w:lang w:eastAsia="ja-JP"/>
        </w:rPr>
        <w:t>inference configuration</w:t>
      </w:r>
      <w:r>
        <w:rPr>
          <w:rFonts w:ascii="Arial" w:hAnsi="Arial" w:cs="Arial"/>
          <w:lang w:eastAsia="ja-JP"/>
        </w:rPr>
        <w:t>s</w:t>
      </w:r>
      <w:r w:rsidRPr="008D0F28">
        <w:rPr>
          <w:rFonts w:ascii="Arial" w:hAnsi="Arial" w:cs="Arial"/>
          <w:lang w:eastAsia="ja-JP"/>
        </w:rPr>
        <w:t xml:space="preserve"> for applicability determination (option A)</w:t>
      </w:r>
      <w:r>
        <w:rPr>
          <w:rFonts w:ascii="Arial" w:hAnsi="Arial" w:cs="Arial"/>
          <w:lang w:eastAsia="ja-JP"/>
        </w:rPr>
        <w:t xml:space="preserve">, </w:t>
      </w:r>
      <w:r w:rsidRPr="008D0F28">
        <w:rPr>
          <w:rFonts w:ascii="Arial" w:hAnsi="Arial" w:cs="Arial"/>
          <w:lang w:eastAsia="ja-JP"/>
        </w:rPr>
        <w:t>one or more inference configuration</w:t>
      </w:r>
      <w:r>
        <w:rPr>
          <w:rFonts w:ascii="Arial" w:hAnsi="Arial" w:cs="Arial"/>
          <w:lang w:eastAsia="ja-JP"/>
        </w:rPr>
        <w:t>s</w:t>
      </w:r>
      <w:r w:rsidRPr="008D0F28">
        <w:rPr>
          <w:rFonts w:ascii="Arial" w:hAnsi="Arial" w:cs="Arial"/>
          <w:lang w:eastAsia="ja-JP"/>
        </w:rPr>
        <w:t xml:space="preserve"> for inference (option B), or inference related parameter </w:t>
      </w:r>
      <w:r>
        <w:rPr>
          <w:rFonts w:ascii="Arial" w:hAnsi="Arial" w:cs="Arial"/>
          <w:lang w:eastAsia="ja-JP"/>
        </w:rPr>
        <w:t>sets</w:t>
      </w:r>
      <w:r w:rsidRPr="008D0F28">
        <w:rPr>
          <w:rFonts w:ascii="Arial" w:hAnsi="Arial" w:cs="Arial"/>
          <w:lang w:eastAsia="ja-JP"/>
        </w:rPr>
        <w:t xml:space="preserve"> for applicability determination (option B) configured by previous </w:t>
      </w:r>
      <w:proofErr w:type="spellStart"/>
      <w:r w:rsidRPr="008D0F28">
        <w:rPr>
          <w:rFonts w:ascii="Arial" w:hAnsi="Arial" w:cs="Arial"/>
          <w:lang w:eastAsia="ja-JP"/>
        </w:rPr>
        <w:t>RRCReconfiguration</w:t>
      </w:r>
      <w:r>
        <w:rPr>
          <w:rFonts w:ascii="Arial" w:hAnsi="Arial" w:cs="Arial"/>
          <w:lang w:eastAsia="ja-JP"/>
        </w:rPr>
        <w:t>s</w:t>
      </w:r>
      <w:proofErr w:type="spellEnd"/>
      <w:r>
        <w:rPr>
          <w:rFonts w:ascii="Arial" w:hAnsi="Arial" w:cs="Arial"/>
          <w:lang w:eastAsia="ja-JP"/>
        </w:rPr>
        <w:t xml:space="preserve"> in </w:t>
      </w:r>
      <w:proofErr w:type="spellStart"/>
      <w:r>
        <w:rPr>
          <w:rFonts w:ascii="Arial" w:hAnsi="Arial" w:cs="Arial"/>
          <w:lang w:eastAsia="ja-JP"/>
        </w:rPr>
        <w:t>RRCReconfigurationComplete</w:t>
      </w:r>
      <w:proofErr w:type="spellEnd"/>
      <w:r>
        <w:rPr>
          <w:rFonts w:ascii="Arial" w:hAnsi="Arial" w:cs="Arial"/>
          <w:lang w:eastAsia="ja-JP"/>
        </w:rPr>
        <w:t xml:space="preserve">. UE shall explicitly report the applicability/inapplicability of one or more </w:t>
      </w:r>
      <w:r w:rsidRPr="008D0F28">
        <w:rPr>
          <w:rFonts w:ascii="Arial" w:hAnsi="Arial" w:cs="Arial"/>
          <w:lang w:eastAsia="ja-JP"/>
        </w:rPr>
        <w:t>full inference configuration</w:t>
      </w:r>
      <w:r>
        <w:rPr>
          <w:rFonts w:ascii="Arial" w:hAnsi="Arial" w:cs="Arial"/>
          <w:lang w:eastAsia="ja-JP"/>
        </w:rPr>
        <w:t>s</w:t>
      </w:r>
      <w:r w:rsidRPr="008D0F28">
        <w:rPr>
          <w:rFonts w:ascii="Arial" w:hAnsi="Arial" w:cs="Arial"/>
          <w:lang w:eastAsia="ja-JP"/>
        </w:rPr>
        <w:t xml:space="preserve"> for applicability determination (option A) or </w:t>
      </w:r>
      <w:r>
        <w:rPr>
          <w:rFonts w:ascii="Arial" w:hAnsi="Arial" w:cs="Arial"/>
          <w:lang w:eastAsia="ja-JP"/>
        </w:rPr>
        <w:t xml:space="preserve">one or more </w:t>
      </w:r>
      <w:r w:rsidRPr="008D0F28">
        <w:rPr>
          <w:rFonts w:ascii="Arial" w:hAnsi="Arial" w:cs="Arial"/>
          <w:lang w:eastAsia="ja-JP"/>
        </w:rPr>
        <w:t>inference related parameter set</w:t>
      </w:r>
      <w:r>
        <w:rPr>
          <w:rFonts w:ascii="Arial" w:hAnsi="Arial" w:cs="Arial"/>
          <w:lang w:eastAsia="ja-JP"/>
        </w:rPr>
        <w:t>s</w:t>
      </w:r>
      <w:r w:rsidRPr="008D0F28">
        <w:rPr>
          <w:rFonts w:ascii="Arial" w:hAnsi="Arial" w:cs="Arial"/>
          <w:lang w:eastAsia="ja-JP"/>
        </w:rPr>
        <w:t xml:space="preserve"> for applicability determination (option B) configured in the latest RRCReconfiguration. </w:t>
      </w:r>
    </w:p>
    <w:p w14:paraId="0685059C" w14:textId="77777777" w:rsidR="001B41B7" w:rsidRDefault="001B41B7" w:rsidP="001B41B7">
      <w:pPr>
        <w:pStyle w:val="BodyText"/>
        <w:spacing w:after="0"/>
        <w:jc w:val="left"/>
        <w:rPr>
          <w:rFonts w:ascii="Arial" w:hAnsi="Arial" w:cs="Arial"/>
          <w:lang w:eastAsia="ja-JP"/>
        </w:rPr>
      </w:pPr>
    </w:p>
    <w:p w14:paraId="3834F6AE" w14:textId="7758BA83" w:rsidR="001B41B7" w:rsidRPr="00A42D37" w:rsidRDefault="001B41B7" w:rsidP="001B41B7">
      <w:pPr>
        <w:pStyle w:val="BodyText"/>
        <w:spacing w:after="0"/>
        <w:jc w:val="left"/>
        <w:rPr>
          <w:rFonts w:ascii="Arial" w:hAnsi="Arial" w:cs="Arial"/>
          <w:b/>
          <w:bCs/>
          <w:lang w:eastAsia="ja-JP"/>
        </w:rPr>
      </w:pPr>
      <w:r w:rsidRPr="00A42D37">
        <w:rPr>
          <w:rFonts w:ascii="Arial" w:hAnsi="Arial" w:cs="Arial"/>
          <w:b/>
          <w:bCs/>
          <w:lang w:eastAsia="ja-JP"/>
        </w:rPr>
        <w:t>Proposal</w:t>
      </w:r>
      <w:r w:rsidR="00230325">
        <w:rPr>
          <w:rFonts w:ascii="Arial" w:hAnsi="Arial" w:cs="Arial"/>
          <w:b/>
          <w:bCs/>
          <w:lang w:eastAsia="ja-JP"/>
        </w:rPr>
        <w:t xml:space="preserve"> 6</w:t>
      </w:r>
      <w:r w:rsidRPr="00A42D37">
        <w:rPr>
          <w:rFonts w:ascii="Arial" w:hAnsi="Arial" w:cs="Arial"/>
          <w:b/>
          <w:bCs/>
          <w:lang w:eastAsia="ja-JP"/>
        </w:rPr>
        <w:t xml:space="preserve">: UE </w:t>
      </w:r>
      <w:r>
        <w:rPr>
          <w:rFonts w:ascii="Arial" w:hAnsi="Arial" w:cs="Arial"/>
          <w:b/>
          <w:bCs/>
          <w:lang w:eastAsia="ja-JP"/>
        </w:rPr>
        <w:t>reports</w:t>
      </w:r>
      <w:r w:rsidRPr="00A42D37">
        <w:rPr>
          <w:rFonts w:ascii="Arial" w:hAnsi="Arial" w:cs="Arial"/>
          <w:b/>
          <w:bCs/>
          <w:lang w:eastAsia="ja-JP"/>
        </w:rPr>
        <w:t xml:space="preserve"> the following in the first applicability report after each RRCReconfiguration </w:t>
      </w:r>
    </w:p>
    <w:p w14:paraId="62E85636" w14:textId="77777777" w:rsidR="001B41B7" w:rsidRPr="00A42D37" w:rsidRDefault="001B41B7" w:rsidP="001B41B7">
      <w:pPr>
        <w:pStyle w:val="BodyText"/>
        <w:numPr>
          <w:ilvl w:val="0"/>
          <w:numId w:val="21"/>
        </w:numPr>
        <w:spacing w:after="0"/>
        <w:jc w:val="left"/>
        <w:rPr>
          <w:rFonts w:ascii="Arial" w:hAnsi="Arial" w:cs="Arial"/>
          <w:b/>
          <w:bCs/>
          <w:lang w:eastAsia="ja-JP"/>
        </w:rPr>
      </w:pPr>
      <w:r w:rsidRPr="00A42D37">
        <w:rPr>
          <w:rFonts w:ascii="Arial" w:hAnsi="Arial" w:cs="Arial"/>
          <w:b/>
          <w:bCs/>
          <w:lang w:eastAsia="ja-JP"/>
        </w:rPr>
        <w:t xml:space="preserve">Change in applicability of one or more inference configurations for applicability determination (option </w:t>
      </w:r>
      <w:r>
        <w:rPr>
          <w:rFonts w:ascii="Arial" w:hAnsi="Arial" w:cs="Arial"/>
          <w:b/>
          <w:bCs/>
          <w:lang w:eastAsia="ja-JP"/>
        </w:rPr>
        <w:t>A), one</w:t>
      </w:r>
      <w:r w:rsidRPr="00A42D37">
        <w:rPr>
          <w:rFonts w:ascii="Arial" w:hAnsi="Arial" w:cs="Arial"/>
          <w:b/>
          <w:bCs/>
          <w:lang w:eastAsia="ja-JP"/>
        </w:rPr>
        <w:t xml:space="preserve"> or more inference configurations for inference (option B), or one or more inference related parameter </w:t>
      </w:r>
      <w:r>
        <w:rPr>
          <w:rFonts w:ascii="Arial" w:hAnsi="Arial" w:cs="Arial"/>
          <w:b/>
          <w:bCs/>
          <w:lang w:eastAsia="ja-JP"/>
        </w:rPr>
        <w:t>sets</w:t>
      </w:r>
      <w:r w:rsidRPr="00A42D37">
        <w:rPr>
          <w:rFonts w:ascii="Arial" w:hAnsi="Arial" w:cs="Arial"/>
          <w:b/>
          <w:bCs/>
          <w:lang w:eastAsia="ja-JP"/>
        </w:rPr>
        <w:t xml:space="preserve"> for applicability determination (option B) configured by previous </w:t>
      </w:r>
      <w:proofErr w:type="spellStart"/>
      <w:r w:rsidRPr="00A42D37">
        <w:rPr>
          <w:rFonts w:ascii="Arial" w:hAnsi="Arial" w:cs="Arial"/>
          <w:b/>
          <w:bCs/>
          <w:lang w:eastAsia="ja-JP"/>
        </w:rPr>
        <w:t>RRCReconfigurations</w:t>
      </w:r>
      <w:proofErr w:type="spellEnd"/>
      <w:r w:rsidRPr="00A42D37">
        <w:rPr>
          <w:rFonts w:ascii="Arial" w:hAnsi="Arial" w:cs="Arial"/>
          <w:b/>
          <w:bCs/>
          <w:lang w:eastAsia="ja-JP"/>
        </w:rPr>
        <w:t xml:space="preserve"> </w:t>
      </w:r>
      <w:r>
        <w:rPr>
          <w:rFonts w:ascii="Arial" w:hAnsi="Arial" w:cs="Arial"/>
          <w:b/>
          <w:bCs/>
          <w:lang w:eastAsia="ja-JP"/>
        </w:rPr>
        <w:t>and</w:t>
      </w:r>
      <w:r w:rsidRPr="00A42D37">
        <w:rPr>
          <w:rFonts w:ascii="Arial" w:hAnsi="Arial" w:cs="Arial"/>
          <w:b/>
          <w:bCs/>
          <w:lang w:eastAsia="ja-JP"/>
        </w:rPr>
        <w:t xml:space="preserve"> not released, and</w:t>
      </w:r>
    </w:p>
    <w:p w14:paraId="06405021" w14:textId="77777777" w:rsidR="001B41B7" w:rsidRDefault="001B41B7" w:rsidP="001B41B7">
      <w:pPr>
        <w:pStyle w:val="BodyText"/>
        <w:numPr>
          <w:ilvl w:val="0"/>
          <w:numId w:val="21"/>
        </w:numPr>
        <w:spacing w:after="0"/>
        <w:jc w:val="left"/>
        <w:rPr>
          <w:rFonts w:ascii="Arial" w:hAnsi="Arial" w:cs="Arial"/>
          <w:b/>
          <w:bCs/>
          <w:lang w:eastAsia="ja-JP"/>
        </w:rPr>
      </w:pPr>
      <w:proofErr w:type="spellStart"/>
      <w:r w:rsidRPr="00A42D37">
        <w:rPr>
          <w:rFonts w:ascii="Arial" w:hAnsi="Arial" w:cs="Arial"/>
          <w:b/>
          <w:bCs/>
          <w:lang w:eastAsia="ja-JP"/>
        </w:rPr>
        <w:t>Explicity</w:t>
      </w:r>
      <w:proofErr w:type="spellEnd"/>
      <w:r w:rsidRPr="00A42D37">
        <w:rPr>
          <w:rFonts w:ascii="Arial" w:hAnsi="Arial" w:cs="Arial"/>
          <w:b/>
          <w:bCs/>
          <w:lang w:eastAsia="ja-JP"/>
        </w:rPr>
        <w:t xml:space="preserve"> report applicability/inapplicability of one or more full inference configurations for applicability determination (option A) or one or more </w:t>
      </w:r>
      <w:r>
        <w:rPr>
          <w:rFonts w:ascii="Arial" w:hAnsi="Arial" w:cs="Arial"/>
          <w:b/>
          <w:bCs/>
          <w:lang w:eastAsia="ja-JP"/>
        </w:rPr>
        <w:t>inference-related</w:t>
      </w:r>
      <w:r w:rsidRPr="00A42D37">
        <w:rPr>
          <w:rFonts w:ascii="Arial" w:hAnsi="Arial" w:cs="Arial"/>
          <w:b/>
          <w:bCs/>
          <w:lang w:eastAsia="ja-JP"/>
        </w:rPr>
        <w:t xml:space="preserve"> parameter sets for applicability determination (option B) configured in the latest RRCReconfiguration.</w:t>
      </w:r>
    </w:p>
    <w:p w14:paraId="6C4EB4CA" w14:textId="77777777" w:rsidR="001B41B7" w:rsidRDefault="001B41B7" w:rsidP="001B41B7">
      <w:pPr>
        <w:pStyle w:val="BodyText"/>
        <w:spacing w:after="0"/>
        <w:jc w:val="left"/>
        <w:rPr>
          <w:rFonts w:ascii="Arial" w:hAnsi="Arial" w:cs="Arial"/>
          <w:b/>
          <w:bCs/>
          <w:lang w:eastAsia="ja-JP"/>
        </w:rPr>
      </w:pPr>
    </w:p>
    <w:p w14:paraId="227A8912" w14:textId="5A692466" w:rsidR="001B41B7" w:rsidRDefault="001B41B7" w:rsidP="001B41B7">
      <w:pPr>
        <w:pStyle w:val="BodyText"/>
        <w:spacing w:after="0"/>
        <w:jc w:val="left"/>
        <w:rPr>
          <w:rFonts w:ascii="Arial" w:hAnsi="Arial" w:cs="Arial"/>
          <w:b/>
          <w:bCs/>
          <w:lang w:eastAsia="ja-JP"/>
        </w:rPr>
      </w:pPr>
      <w:r>
        <w:rPr>
          <w:rFonts w:ascii="Arial" w:hAnsi="Arial" w:cs="Arial"/>
          <w:b/>
          <w:bCs/>
          <w:lang w:eastAsia="ja-JP"/>
        </w:rPr>
        <w:t>Proposal</w:t>
      </w:r>
      <w:r w:rsidR="00230325">
        <w:rPr>
          <w:rFonts w:ascii="Arial" w:hAnsi="Arial" w:cs="Arial"/>
          <w:b/>
          <w:bCs/>
          <w:lang w:eastAsia="ja-JP"/>
        </w:rPr>
        <w:t xml:space="preserve"> 7</w:t>
      </w:r>
      <w:r>
        <w:rPr>
          <w:rFonts w:ascii="Arial" w:hAnsi="Arial" w:cs="Arial"/>
          <w:b/>
          <w:bCs/>
          <w:lang w:eastAsia="ja-JP"/>
        </w:rPr>
        <w:t>: UE should be allowed to report changes</w:t>
      </w:r>
      <w:r w:rsidRPr="00A42D37">
        <w:rPr>
          <w:rFonts w:ascii="Arial" w:hAnsi="Arial" w:cs="Arial"/>
          <w:b/>
          <w:bCs/>
          <w:lang w:eastAsia="ja-JP"/>
        </w:rPr>
        <w:t xml:space="preserve"> in </w:t>
      </w:r>
      <w:r>
        <w:rPr>
          <w:rFonts w:ascii="Arial" w:hAnsi="Arial" w:cs="Arial"/>
          <w:b/>
          <w:bCs/>
          <w:lang w:eastAsia="ja-JP"/>
        </w:rPr>
        <w:t xml:space="preserve">the </w:t>
      </w:r>
      <w:r w:rsidRPr="00A42D37">
        <w:rPr>
          <w:rFonts w:ascii="Arial" w:hAnsi="Arial" w:cs="Arial"/>
          <w:b/>
          <w:bCs/>
          <w:lang w:eastAsia="ja-JP"/>
        </w:rPr>
        <w:t xml:space="preserve">applicability of one or more inference configurations for applicability determination (option </w:t>
      </w:r>
      <w:r>
        <w:rPr>
          <w:rFonts w:ascii="Arial" w:hAnsi="Arial" w:cs="Arial"/>
          <w:b/>
          <w:bCs/>
          <w:lang w:eastAsia="ja-JP"/>
        </w:rPr>
        <w:t>A), one</w:t>
      </w:r>
      <w:r w:rsidRPr="00A42D37">
        <w:rPr>
          <w:rFonts w:ascii="Arial" w:hAnsi="Arial" w:cs="Arial"/>
          <w:b/>
          <w:bCs/>
          <w:lang w:eastAsia="ja-JP"/>
        </w:rPr>
        <w:t xml:space="preserve"> or more inference configurations for inference (option B), or one or more </w:t>
      </w:r>
      <w:r>
        <w:rPr>
          <w:rFonts w:ascii="Arial" w:hAnsi="Arial" w:cs="Arial"/>
          <w:b/>
          <w:bCs/>
          <w:lang w:eastAsia="ja-JP"/>
        </w:rPr>
        <w:t>inference-related</w:t>
      </w:r>
      <w:r w:rsidRPr="00A42D37">
        <w:rPr>
          <w:rFonts w:ascii="Arial" w:hAnsi="Arial" w:cs="Arial"/>
          <w:b/>
          <w:bCs/>
          <w:lang w:eastAsia="ja-JP"/>
        </w:rPr>
        <w:t xml:space="preserve"> parameter </w:t>
      </w:r>
      <w:r>
        <w:rPr>
          <w:rFonts w:ascii="Arial" w:hAnsi="Arial" w:cs="Arial"/>
          <w:b/>
          <w:bCs/>
          <w:lang w:eastAsia="ja-JP"/>
        </w:rPr>
        <w:t>sets</w:t>
      </w:r>
      <w:r w:rsidRPr="00A42D37">
        <w:rPr>
          <w:rFonts w:ascii="Arial" w:hAnsi="Arial" w:cs="Arial"/>
          <w:b/>
          <w:bCs/>
          <w:lang w:eastAsia="ja-JP"/>
        </w:rPr>
        <w:t xml:space="preserve"> for applicability determination (option B) configured by previous </w:t>
      </w:r>
      <w:proofErr w:type="spellStart"/>
      <w:r w:rsidRPr="00A42D37">
        <w:rPr>
          <w:rFonts w:ascii="Arial" w:hAnsi="Arial" w:cs="Arial"/>
          <w:b/>
          <w:bCs/>
          <w:lang w:eastAsia="ja-JP"/>
        </w:rPr>
        <w:t>RRCReconfigurations</w:t>
      </w:r>
      <w:proofErr w:type="spellEnd"/>
      <w:r w:rsidRPr="00A42D37">
        <w:rPr>
          <w:rFonts w:ascii="Arial" w:hAnsi="Arial" w:cs="Arial"/>
          <w:b/>
          <w:bCs/>
          <w:lang w:eastAsia="ja-JP"/>
        </w:rPr>
        <w:t xml:space="preserve"> </w:t>
      </w:r>
      <w:r>
        <w:rPr>
          <w:rFonts w:ascii="Arial" w:hAnsi="Arial" w:cs="Arial"/>
          <w:b/>
          <w:bCs/>
          <w:lang w:eastAsia="ja-JP"/>
        </w:rPr>
        <w:t>and</w:t>
      </w:r>
      <w:r w:rsidRPr="00A42D37">
        <w:rPr>
          <w:rFonts w:ascii="Arial" w:hAnsi="Arial" w:cs="Arial"/>
          <w:b/>
          <w:bCs/>
          <w:lang w:eastAsia="ja-JP"/>
        </w:rPr>
        <w:t xml:space="preserve"> not released</w:t>
      </w:r>
      <w:r w:rsidR="002F1EF5">
        <w:rPr>
          <w:rFonts w:ascii="Arial" w:hAnsi="Arial" w:cs="Arial"/>
          <w:b/>
          <w:bCs/>
          <w:lang w:eastAsia="ja-JP"/>
        </w:rPr>
        <w:t xml:space="preserve"> in the </w:t>
      </w:r>
      <w:proofErr w:type="spellStart"/>
      <w:r w:rsidR="002F1EF5">
        <w:rPr>
          <w:rFonts w:ascii="Arial" w:hAnsi="Arial" w:cs="Arial"/>
          <w:b/>
          <w:bCs/>
          <w:lang w:eastAsia="ja-JP"/>
        </w:rPr>
        <w:t>RRCReconfigurationComplete</w:t>
      </w:r>
      <w:proofErr w:type="spellEnd"/>
      <w:r>
        <w:rPr>
          <w:rFonts w:ascii="Arial" w:hAnsi="Arial" w:cs="Arial"/>
          <w:b/>
          <w:bCs/>
          <w:lang w:eastAsia="ja-JP"/>
        </w:rPr>
        <w:t xml:space="preserve">, </w:t>
      </w:r>
    </w:p>
    <w:p w14:paraId="51E9295E" w14:textId="77777777" w:rsidR="001B41B7" w:rsidRPr="00A42D37" w:rsidRDefault="001B41B7" w:rsidP="001B41B7">
      <w:pPr>
        <w:pStyle w:val="BodyText"/>
        <w:numPr>
          <w:ilvl w:val="0"/>
          <w:numId w:val="21"/>
        </w:numPr>
        <w:spacing w:after="0"/>
        <w:jc w:val="left"/>
        <w:rPr>
          <w:rFonts w:ascii="Arial" w:hAnsi="Arial" w:cs="Arial"/>
          <w:b/>
          <w:bCs/>
          <w:lang w:eastAsia="ja-JP"/>
        </w:rPr>
      </w:pPr>
      <w:r>
        <w:rPr>
          <w:rFonts w:ascii="Arial" w:hAnsi="Arial" w:cs="Arial"/>
          <w:b/>
          <w:bCs/>
          <w:lang w:eastAsia="ja-JP"/>
        </w:rPr>
        <w:t xml:space="preserve">Even if the latest RRCReconfiguration does not contain </w:t>
      </w:r>
      <w:r w:rsidRPr="00A222E4">
        <w:rPr>
          <w:rFonts w:ascii="Arial" w:hAnsi="Arial" w:cs="Arial"/>
          <w:b/>
          <w:bCs/>
          <w:lang w:eastAsia="ja-JP"/>
        </w:rPr>
        <w:t xml:space="preserve">full inference configuration for applicability determination (option A) or inference related parameter set for applicability determination (option </w:t>
      </w:r>
      <w:r>
        <w:rPr>
          <w:rFonts w:ascii="Arial" w:hAnsi="Arial" w:cs="Arial"/>
          <w:b/>
          <w:bCs/>
          <w:lang w:eastAsia="ja-JP"/>
        </w:rPr>
        <w:t>B),</w:t>
      </w:r>
      <w:r w:rsidRPr="00A222E4">
        <w:rPr>
          <w:rFonts w:ascii="Arial" w:hAnsi="Arial" w:cs="Arial"/>
          <w:b/>
          <w:bCs/>
          <w:lang w:eastAsia="ja-JP"/>
        </w:rPr>
        <w:t xml:space="preserve"> or contains full inference configuration (option B)</w:t>
      </w:r>
      <w:r>
        <w:rPr>
          <w:rFonts w:ascii="Arial" w:hAnsi="Arial" w:cs="Arial"/>
          <w:b/>
          <w:bCs/>
          <w:lang w:eastAsia="ja-JP"/>
        </w:rPr>
        <w:t>, and UE is configured to report applicability using UAI.</w:t>
      </w:r>
    </w:p>
    <w:bookmarkEnd w:id="3"/>
    <w:bookmarkEnd w:id="4"/>
    <w:p w14:paraId="5C1D755D" w14:textId="76D6169B" w:rsidR="5D55723A" w:rsidRPr="00550ADD" w:rsidRDefault="5D55723A" w:rsidP="0039008A">
      <w:pPr>
        <w:pStyle w:val="Heading1"/>
        <w:keepLines/>
        <w:numPr>
          <w:ilvl w:val="0"/>
          <w:numId w:val="6"/>
        </w:numPr>
        <w:pBdr>
          <w:top w:val="single" w:sz="12" w:space="3" w:color="auto"/>
        </w:pBdr>
        <w:tabs>
          <w:tab w:val="left" w:pos="425"/>
          <w:tab w:val="left" w:pos="567"/>
        </w:tabs>
        <w:spacing w:before="240" w:after="180"/>
      </w:pPr>
      <w:r w:rsidRPr="00550ADD">
        <w:rPr>
          <w:b w:val="0"/>
          <w:bCs w:val="0"/>
        </w:rPr>
        <w:t>Conclusion</w:t>
      </w:r>
    </w:p>
    <w:p w14:paraId="352D6D38" w14:textId="41234D20" w:rsidR="00920BDB" w:rsidRPr="00074235" w:rsidRDefault="00920BDB" w:rsidP="00920BDB">
      <w:pPr>
        <w:pStyle w:val="BodyText"/>
        <w:spacing w:after="0"/>
        <w:jc w:val="left"/>
        <w:rPr>
          <w:rFonts w:ascii="Arial" w:hAnsi="Arial" w:cs="Arial"/>
          <w:lang w:eastAsia="ja-JP"/>
        </w:rPr>
      </w:pPr>
      <w:r w:rsidRPr="00074235">
        <w:rPr>
          <w:rFonts w:ascii="Arial" w:hAnsi="Arial" w:cs="Arial"/>
          <w:lang w:eastAsia="ja-JP"/>
        </w:rPr>
        <w:t>Observation 1: To determine the applicability, the UE needs to check whether the UE has trained models for RS configurations (i.e., [set A, set B] RS sets), associated IDs, and reporting type/configuration.</w:t>
      </w:r>
    </w:p>
    <w:p w14:paraId="21D102EA" w14:textId="2AC3D9BB" w:rsidR="00F241DE" w:rsidRDefault="00F241DE" w:rsidP="00F241DE">
      <w:pPr>
        <w:pStyle w:val="BodyText"/>
        <w:spacing w:after="0"/>
        <w:jc w:val="left"/>
        <w:rPr>
          <w:rFonts w:ascii="Arial" w:hAnsi="Arial" w:cs="Arial"/>
          <w:b/>
          <w:bCs/>
          <w:lang w:eastAsia="ja-JP"/>
        </w:rPr>
      </w:pPr>
    </w:p>
    <w:p w14:paraId="69321FE9" w14:textId="77777777" w:rsidR="008315D9" w:rsidRPr="00550ADD" w:rsidRDefault="008315D9" w:rsidP="008315D9">
      <w:pPr>
        <w:pStyle w:val="BodyText"/>
        <w:spacing w:after="0"/>
        <w:jc w:val="left"/>
        <w:rPr>
          <w:rFonts w:ascii="Arial" w:hAnsi="Arial" w:cs="Arial"/>
          <w:b/>
          <w:bCs/>
          <w:lang w:eastAsia="ja-JP"/>
        </w:rPr>
      </w:pPr>
      <w:r w:rsidRPr="00550ADD">
        <w:rPr>
          <w:rFonts w:ascii="Arial" w:hAnsi="Arial" w:cs="Arial"/>
          <w:b/>
          <w:bCs/>
          <w:lang w:eastAsia="ja-JP"/>
        </w:rPr>
        <w:lastRenderedPageBreak/>
        <w:t xml:space="preserve">Proposal 1:  To simplify the </w:t>
      </w:r>
      <w:r w:rsidRPr="412A73EE">
        <w:rPr>
          <w:rFonts w:ascii="Arial" w:hAnsi="Arial" w:cs="Arial"/>
          <w:b/>
          <w:bCs/>
          <w:lang w:eastAsia="ja-JP"/>
        </w:rPr>
        <w:t xml:space="preserve">standard and </w:t>
      </w:r>
      <w:r w:rsidRPr="00550ADD">
        <w:rPr>
          <w:rFonts w:ascii="Arial" w:hAnsi="Arial" w:cs="Arial"/>
          <w:b/>
          <w:bCs/>
          <w:lang w:eastAsia="ja-JP"/>
        </w:rPr>
        <w:t xml:space="preserve">UE </w:t>
      </w:r>
      <w:r w:rsidRPr="412A73EE">
        <w:rPr>
          <w:rFonts w:ascii="Arial" w:hAnsi="Arial" w:cs="Arial"/>
          <w:b/>
          <w:bCs/>
          <w:lang w:eastAsia="ja-JP"/>
        </w:rPr>
        <w:t>and NW implementations</w:t>
      </w:r>
      <w:r w:rsidRPr="00550ADD">
        <w:rPr>
          <w:rFonts w:ascii="Arial" w:hAnsi="Arial" w:cs="Arial"/>
          <w:b/>
          <w:bCs/>
          <w:lang w:eastAsia="ja-JP"/>
        </w:rPr>
        <w:t>, RAN2 should conclude on a common solution for configuring UE with inference related parameters (for applicability) or full inference configurations (for applicability and inference).</w:t>
      </w:r>
    </w:p>
    <w:p w14:paraId="56C5C737" w14:textId="77777777" w:rsidR="008315D9" w:rsidRDefault="008315D9" w:rsidP="00F241DE">
      <w:pPr>
        <w:pStyle w:val="BodyText"/>
        <w:spacing w:after="0"/>
        <w:jc w:val="left"/>
        <w:rPr>
          <w:rFonts w:ascii="Arial" w:hAnsi="Arial" w:cs="Arial"/>
          <w:b/>
          <w:bCs/>
          <w:lang w:eastAsia="ja-JP"/>
        </w:rPr>
      </w:pPr>
    </w:p>
    <w:p w14:paraId="33F876CA" w14:textId="77777777" w:rsidR="00920BDB" w:rsidRPr="00074235" w:rsidRDefault="00920BDB" w:rsidP="00920BDB">
      <w:pPr>
        <w:pStyle w:val="Agreement"/>
        <w:numPr>
          <w:ilvl w:val="0"/>
          <w:numId w:val="0"/>
        </w:numPr>
        <w:spacing w:before="0"/>
        <w:rPr>
          <w:rFonts w:cs="Arial"/>
          <w:b w:val="0"/>
          <w:bCs/>
        </w:rPr>
      </w:pPr>
      <w:r w:rsidRPr="00074235">
        <w:rPr>
          <w:rFonts w:cs="Arial"/>
          <w:b w:val="0"/>
          <w:bCs/>
        </w:rPr>
        <w:t xml:space="preserve">Observation 2:  UE </w:t>
      </w:r>
      <w:proofErr w:type="spellStart"/>
      <w:r w:rsidRPr="00074235">
        <w:rPr>
          <w:rFonts w:cs="Arial"/>
          <w:b w:val="0"/>
          <w:bCs/>
        </w:rPr>
        <w:t>behavior</w:t>
      </w:r>
      <w:proofErr w:type="spellEnd"/>
      <w:r w:rsidRPr="00074235">
        <w:rPr>
          <w:rFonts w:cs="Arial"/>
          <w:b w:val="0"/>
          <w:bCs/>
        </w:rPr>
        <w:t xml:space="preserve"> for non-applicable periodic CSI-</w:t>
      </w:r>
      <w:proofErr w:type="spellStart"/>
      <w:r w:rsidRPr="00074235">
        <w:rPr>
          <w:rFonts w:cs="Arial"/>
          <w:b w:val="0"/>
          <w:bCs/>
        </w:rPr>
        <w:t>ReportConfig</w:t>
      </w:r>
      <w:proofErr w:type="spellEnd"/>
      <w:r w:rsidRPr="00074235">
        <w:rPr>
          <w:rFonts w:cs="Arial"/>
          <w:b w:val="0"/>
          <w:bCs/>
        </w:rPr>
        <w:t xml:space="preserve"> is not clear, i.e., what is UE expected to do if periodic CSI-</w:t>
      </w:r>
      <w:proofErr w:type="spellStart"/>
      <w:r w:rsidRPr="00074235">
        <w:rPr>
          <w:rFonts w:cs="Arial"/>
          <w:b w:val="0"/>
          <w:bCs/>
        </w:rPr>
        <w:t>ReportConfig</w:t>
      </w:r>
      <w:proofErr w:type="spellEnd"/>
      <w:r w:rsidRPr="00074235">
        <w:rPr>
          <w:rFonts w:cs="Arial"/>
          <w:b w:val="0"/>
          <w:bCs/>
        </w:rPr>
        <w:t xml:space="preserve"> is not applicable at the time of sending </w:t>
      </w:r>
      <w:proofErr w:type="spellStart"/>
      <w:r w:rsidRPr="00074235">
        <w:rPr>
          <w:rFonts w:cs="Arial"/>
          <w:b w:val="0"/>
          <w:bCs/>
        </w:rPr>
        <w:t>RRCReconfigurationComplete</w:t>
      </w:r>
      <w:proofErr w:type="spellEnd"/>
      <w:r w:rsidRPr="00074235">
        <w:rPr>
          <w:rFonts w:cs="Arial"/>
          <w:b w:val="0"/>
          <w:bCs/>
        </w:rPr>
        <w:t xml:space="preserve">? </w:t>
      </w:r>
    </w:p>
    <w:p w14:paraId="5DF1FC52" w14:textId="77777777" w:rsidR="00920BDB" w:rsidRPr="00074235" w:rsidRDefault="00920BDB" w:rsidP="00920BDB">
      <w:pPr>
        <w:rPr>
          <w:rFonts w:ascii="Arial" w:hAnsi="Arial" w:cs="Arial"/>
          <w:bCs/>
          <w:lang w:val="en-GB" w:eastAsia="en-GB"/>
        </w:rPr>
      </w:pPr>
    </w:p>
    <w:p w14:paraId="2769C6EF" w14:textId="77777777" w:rsidR="00920BDB" w:rsidRPr="00074235" w:rsidRDefault="00920BDB" w:rsidP="00920BDB">
      <w:pPr>
        <w:rPr>
          <w:rFonts w:ascii="Arial" w:hAnsi="Arial" w:cs="Arial"/>
          <w:bCs/>
        </w:rPr>
      </w:pPr>
      <w:r w:rsidRPr="00074235">
        <w:rPr>
          <w:rFonts w:ascii="Arial" w:hAnsi="Arial" w:cs="Arial"/>
          <w:bCs/>
          <w:lang w:val="en-GB" w:eastAsia="en-GB"/>
        </w:rPr>
        <w:t xml:space="preserve">Observation 3: </w:t>
      </w:r>
      <w:r w:rsidRPr="00074235">
        <w:rPr>
          <w:rFonts w:ascii="Arial" w:hAnsi="Arial" w:cs="Arial"/>
          <w:bCs/>
        </w:rPr>
        <w:t>Due to limited memory at the UE, downloading the required model may be required in most cases. In such cases, if UE is not allowed to report the applicability of period CSI-</w:t>
      </w:r>
      <w:proofErr w:type="spellStart"/>
      <w:r w:rsidRPr="00074235">
        <w:rPr>
          <w:rFonts w:ascii="Arial" w:hAnsi="Arial" w:cs="Arial"/>
          <w:bCs/>
        </w:rPr>
        <w:t>ReportConfig</w:t>
      </w:r>
      <w:proofErr w:type="spellEnd"/>
      <w:r w:rsidRPr="00074235">
        <w:rPr>
          <w:rFonts w:ascii="Arial" w:hAnsi="Arial" w:cs="Arial"/>
          <w:bCs/>
        </w:rPr>
        <w:t xml:space="preserve"> later using UE Assistance Information, then configuring UE with CSI-</w:t>
      </w:r>
      <w:proofErr w:type="spellStart"/>
      <w:r w:rsidRPr="00074235">
        <w:rPr>
          <w:rFonts w:ascii="Arial" w:hAnsi="Arial" w:cs="Arial"/>
          <w:bCs/>
        </w:rPr>
        <w:t>ReportConfig</w:t>
      </w:r>
      <w:proofErr w:type="spellEnd"/>
      <w:r w:rsidRPr="00074235">
        <w:rPr>
          <w:rFonts w:ascii="Arial" w:hAnsi="Arial" w:cs="Arial"/>
          <w:bCs/>
        </w:rPr>
        <w:t xml:space="preserve"> may not be useful. </w:t>
      </w:r>
    </w:p>
    <w:p w14:paraId="20017CF1" w14:textId="77777777" w:rsidR="00920BDB" w:rsidRDefault="00920BDB" w:rsidP="00920BDB">
      <w:pPr>
        <w:rPr>
          <w:rFonts w:ascii="Arial" w:hAnsi="Arial" w:cs="Arial"/>
          <w:b/>
          <w:bCs/>
        </w:rPr>
      </w:pPr>
    </w:p>
    <w:p w14:paraId="7422F347" w14:textId="77777777" w:rsidR="00920BDB" w:rsidRPr="00525939" w:rsidRDefault="00920BDB" w:rsidP="00920BDB">
      <w:pPr>
        <w:rPr>
          <w:rFonts w:ascii="Arial" w:hAnsi="Arial" w:cs="Arial"/>
          <w:lang w:val="en-GB" w:eastAsia="en-GB"/>
        </w:rPr>
      </w:pPr>
      <w:r w:rsidRPr="00525939">
        <w:rPr>
          <w:rFonts w:ascii="Arial" w:hAnsi="Arial" w:cs="Arial"/>
          <w:b/>
          <w:bCs/>
        </w:rPr>
        <w:t xml:space="preserve">Proposal </w:t>
      </w:r>
      <w:r>
        <w:rPr>
          <w:rFonts w:ascii="Arial" w:hAnsi="Arial" w:cs="Arial"/>
          <w:b/>
          <w:bCs/>
        </w:rPr>
        <w:t>2</w:t>
      </w:r>
      <w:r w:rsidRPr="00525939">
        <w:rPr>
          <w:rFonts w:ascii="Arial" w:hAnsi="Arial" w:cs="Arial"/>
          <w:b/>
          <w:bCs/>
        </w:rPr>
        <w:t xml:space="preserve">: </w:t>
      </w:r>
      <w:r w:rsidRPr="6BB0BBE8">
        <w:rPr>
          <w:rFonts w:ascii="Arial" w:hAnsi="Arial" w:cs="Arial"/>
          <w:b/>
          <w:bCs/>
        </w:rPr>
        <w:t>The UE shall</w:t>
      </w:r>
      <w:r w:rsidRPr="00525939">
        <w:rPr>
          <w:rFonts w:ascii="Arial" w:hAnsi="Arial" w:cs="Arial"/>
          <w:b/>
          <w:bCs/>
        </w:rPr>
        <w:t xml:space="preserve"> </w:t>
      </w:r>
      <w:r>
        <w:rPr>
          <w:rFonts w:ascii="Arial" w:hAnsi="Arial" w:cs="Arial"/>
          <w:b/>
          <w:bCs/>
        </w:rPr>
        <w:t xml:space="preserve">autonomously </w:t>
      </w:r>
      <w:r w:rsidRPr="00525939">
        <w:rPr>
          <w:rFonts w:ascii="Arial" w:hAnsi="Arial" w:cs="Arial"/>
          <w:b/>
          <w:bCs/>
        </w:rPr>
        <w:t xml:space="preserve">activate </w:t>
      </w:r>
      <w:r w:rsidRPr="6BB0BBE8">
        <w:rPr>
          <w:rFonts w:ascii="Arial" w:hAnsi="Arial" w:cs="Arial"/>
          <w:b/>
          <w:bCs/>
        </w:rPr>
        <w:t>a</w:t>
      </w:r>
      <w:r>
        <w:rPr>
          <w:rFonts w:ascii="Arial" w:hAnsi="Arial" w:cs="Arial"/>
          <w:b/>
          <w:bCs/>
        </w:rPr>
        <w:t>pplicable</w:t>
      </w:r>
      <w:r w:rsidRPr="6BB0BBE8">
        <w:rPr>
          <w:rFonts w:ascii="Arial" w:hAnsi="Arial" w:cs="Arial"/>
          <w:b/>
          <w:bCs/>
        </w:rPr>
        <w:t xml:space="preserve"> </w:t>
      </w:r>
      <w:r w:rsidRPr="00525939">
        <w:rPr>
          <w:rFonts w:ascii="Arial" w:hAnsi="Arial" w:cs="Arial"/>
          <w:b/>
          <w:bCs/>
        </w:rPr>
        <w:t>periodic CSI-</w:t>
      </w:r>
      <w:proofErr w:type="spellStart"/>
      <w:r w:rsidRPr="00525939">
        <w:rPr>
          <w:rFonts w:ascii="Arial" w:hAnsi="Arial" w:cs="Arial"/>
          <w:b/>
          <w:bCs/>
        </w:rPr>
        <w:t>ReportConfig</w:t>
      </w:r>
      <w:proofErr w:type="spellEnd"/>
      <w:r w:rsidRPr="00525939">
        <w:rPr>
          <w:rFonts w:ascii="Arial" w:hAnsi="Arial" w:cs="Arial"/>
          <w:b/>
          <w:bCs/>
        </w:rPr>
        <w:t xml:space="preserve"> </w:t>
      </w:r>
      <w:r>
        <w:rPr>
          <w:rFonts w:ascii="Arial" w:hAnsi="Arial" w:cs="Arial"/>
          <w:b/>
          <w:bCs/>
        </w:rPr>
        <w:t>upon sending</w:t>
      </w:r>
      <w:r w:rsidRPr="00525939">
        <w:rPr>
          <w:rFonts w:ascii="Arial" w:hAnsi="Arial" w:cs="Arial"/>
          <w:b/>
          <w:bCs/>
        </w:rPr>
        <w:t xml:space="preserve"> the UE Assistance Information </w:t>
      </w:r>
      <w:r>
        <w:rPr>
          <w:rFonts w:ascii="Arial" w:hAnsi="Arial" w:cs="Arial"/>
          <w:b/>
          <w:bCs/>
        </w:rPr>
        <w:t>(</w:t>
      </w:r>
      <w:r w:rsidRPr="00525939">
        <w:rPr>
          <w:rFonts w:ascii="Arial" w:hAnsi="Arial" w:cs="Arial"/>
          <w:b/>
          <w:bCs/>
        </w:rPr>
        <w:t>when a periodic CSI-</w:t>
      </w:r>
      <w:proofErr w:type="spellStart"/>
      <w:r w:rsidRPr="00525939">
        <w:rPr>
          <w:rFonts w:ascii="Arial" w:hAnsi="Arial" w:cs="Arial"/>
          <w:b/>
          <w:bCs/>
        </w:rPr>
        <w:t>ReportConfig</w:t>
      </w:r>
      <w:proofErr w:type="spellEnd"/>
      <w:r>
        <w:rPr>
          <w:rFonts w:ascii="Arial" w:hAnsi="Arial" w:cs="Arial"/>
          <w:b/>
          <w:bCs/>
        </w:rPr>
        <w:t xml:space="preserve"> for inference</w:t>
      </w:r>
      <w:r w:rsidRPr="00525939">
        <w:rPr>
          <w:rFonts w:ascii="Arial" w:hAnsi="Arial" w:cs="Arial"/>
          <w:b/>
          <w:bCs/>
        </w:rPr>
        <w:t xml:space="preserve"> becomes applicable after sending </w:t>
      </w:r>
      <w:proofErr w:type="spellStart"/>
      <w:r w:rsidRPr="00525939">
        <w:rPr>
          <w:rFonts w:ascii="Arial" w:hAnsi="Arial" w:cs="Arial"/>
          <w:b/>
          <w:bCs/>
        </w:rPr>
        <w:t>RRCReconfigurationComplete</w:t>
      </w:r>
      <w:proofErr w:type="spellEnd"/>
      <w:r>
        <w:rPr>
          <w:rFonts w:ascii="Arial" w:hAnsi="Arial" w:cs="Arial"/>
          <w:b/>
          <w:bCs/>
        </w:rPr>
        <w:t>).</w:t>
      </w:r>
      <w:r w:rsidRPr="00525939">
        <w:rPr>
          <w:rFonts w:ascii="Arial" w:hAnsi="Arial" w:cs="Arial"/>
          <w:b/>
          <w:bCs/>
        </w:rPr>
        <w:t xml:space="preserve"> </w:t>
      </w:r>
    </w:p>
    <w:p w14:paraId="2BFCCE6A" w14:textId="77777777" w:rsidR="00920BDB" w:rsidRDefault="00920BDB" w:rsidP="00F241DE">
      <w:pPr>
        <w:pStyle w:val="BodyText"/>
        <w:spacing w:after="0"/>
        <w:jc w:val="left"/>
        <w:rPr>
          <w:rFonts w:ascii="Arial" w:hAnsi="Arial" w:cs="Arial"/>
          <w:b/>
          <w:bCs/>
          <w:lang w:val="en-GB" w:eastAsia="ja-JP"/>
        </w:rPr>
      </w:pPr>
    </w:p>
    <w:p w14:paraId="099C2AE7" w14:textId="77777777" w:rsidR="00306EA1" w:rsidRPr="00074235" w:rsidRDefault="00306EA1" w:rsidP="00306EA1">
      <w:pPr>
        <w:rPr>
          <w:rFonts w:ascii="Arial" w:hAnsi="Arial" w:cs="Arial"/>
          <w:lang w:val="en-GB" w:eastAsia="en-GB"/>
        </w:rPr>
      </w:pPr>
      <w:r w:rsidRPr="00074235">
        <w:rPr>
          <w:rFonts w:ascii="Arial" w:hAnsi="Arial" w:cs="Arial"/>
          <w:lang w:val="en-GB" w:eastAsia="en-GB"/>
        </w:rPr>
        <w:t xml:space="preserve">Observation 4: In the RAN2#127 meeting RAN2 agreed that </w:t>
      </w:r>
      <w:r w:rsidRPr="00074235">
        <w:rPr>
          <w:rFonts w:ascii="Arial" w:hAnsi="Arial" w:cs="Arial"/>
        </w:rPr>
        <w:t xml:space="preserve">UE decides the applicable functionalities based on NW-side additional conditions (if provided), UE-side additional conditions (internally known by UE), and model availability in the device. How UE determines the applicability is left up to the UE implementation. </w:t>
      </w:r>
    </w:p>
    <w:p w14:paraId="1A264AD8" w14:textId="77777777" w:rsidR="00920BDB" w:rsidRDefault="00920BDB" w:rsidP="00F241DE">
      <w:pPr>
        <w:pStyle w:val="BodyText"/>
        <w:spacing w:after="0"/>
        <w:jc w:val="left"/>
        <w:rPr>
          <w:rFonts w:ascii="Arial" w:hAnsi="Arial" w:cs="Arial"/>
          <w:b/>
          <w:bCs/>
          <w:lang w:val="en-GB" w:eastAsia="ja-JP"/>
        </w:rPr>
      </w:pPr>
    </w:p>
    <w:p w14:paraId="4D4C1FAA" w14:textId="77777777" w:rsidR="00306EA1" w:rsidRPr="00F30727" w:rsidRDefault="00306EA1" w:rsidP="00306EA1">
      <w:pPr>
        <w:pStyle w:val="BodyText"/>
        <w:spacing w:after="0"/>
        <w:jc w:val="left"/>
        <w:rPr>
          <w:rFonts w:ascii="Arial" w:hAnsi="Arial" w:cs="Arial"/>
          <w:b/>
          <w:bCs/>
          <w:lang w:eastAsia="ja-JP"/>
        </w:rPr>
      </w:pPr>
      <w:r w:rsidRPr="00F30727">
        <w:rPr>
          <w:rFonts w:ascii="Arial" w:hAnsi="Arial" w:cs="Arial"/>
          <w:b/>
          <w:bCs/>
          <w:lang w:eastAsia="ja-JP"/>
        </w:rPr>
        <w:t xml:space="preserve">Proposal </w:t>
      </w:r>
      <w:r>
        <w:rPr>
          <w:rFonts w:ascii="Arial" w:hAnsi="Arial" w:cs="Arial"/>
          <w:b/>
          <w:bCs/>
          <w:lang w:eastAsia="ja-JP"/>
        </w:rPr>
        <w:t>3</w:t>
      </w:r>
      <w:r w:rsidRPr="00F30727">
        <w:rPr>
          <w:rFonts w:ascii="Arial" w:hAnsi="Arial" w:cs="Arial"/>
          <w:b/>
          <w:bCs/>
          <w:lang w:eastAsia="ja-JP"/>
        </w:rPr>
        <w:t xml:space="preserve">: </w:t>
      </w:r>
      <w:r w:rsidRPr="6BB0BBE8">
        <w:rPr>
          <w:rFonts w:ascii="Arial" w:hAnsi="Arial" w:cs="Arial"/>
          <w:b/>
          <w:bCs/>
          <w:lang w:eastAsia="ja-JP"/>
        </w:rPr>
        <w:t xml:space="preserve">The </w:t>
      </w:r>
      <w:r w:rsidRPr="00F30727">
        <w:rPr>
          <w:rFonts w:ascii="Arial" w:hAnsi="Arial" w:cs="Arial"/>
          <w:b/>
          <w:bCs/>
          <w:lang w:eastAsia="ja-JP"/>
        </w:rPr>
        <w:t xml:space="preserve">UE </w:t>
      </w:r>
      <w:r w:rsidRPr="6BB0BBE8">
        <w:rPr>
          <w:rFonts w:ascii="Arial" w:hAnsi="Arial" w:cs="Arial"/>
          <w:b/>
          <w:bCs/>
          <w:lang w:eastAsia="ja-JP"/>
        </w:rPr>
        <w:t>indicates</w:t>
      </w:r>
      <w:r w:rsidRPr="00F30727">
        <w:rPr>
          <w:rFonts w:ascii="Arial" w:hAnsi="Arial" w:cs="Arial"/>
          <w:b/>
          <w:bCs/>
          <w:lang w:eastAsia="ja-JP"/>
        </w:rPr>
        <w:t xml:space="preserve"> to the network the cause of inapplicability as </w:t>
      </w:r>
      <w:r w:rsidRPr="6BB0BBE8">
        <w:rPr>
          <w:rFonts w:ascii="Arial" w:hAnsi="Arial" w:cs="Arial"/>
          <w:b/>
          <w:bCs/>
          <w:lang w:eastAsia="ja-JP"/>
        </w:rPr>
        <w:t>either:</w:t>
      </w:r>
    </w:p>
    <w:p w14:paraId="7C6799F7" w14:textId="77777777" w:rsidR="00306EA1" w:rsidRPr="00F30727" w:rsidRDefault="00306EA1" w:rsidP="00306EA1">
      <w:pPr>
        <w:pStyle w:val="BodyText"/>
        <w:numPr>
          <w:ilvl w:val="0"/>
          <w:numId w:val="19"/>
        </w:numPr>
        <w:spacing w:after="0"/>
        <w:jc w:val="left"/>
        <w:rPr>
          <w:rFonts w:ascii="Arial" w:hAnsi="Arial" w:cs="Arial"/>
          <w:b/>
          <w:bCs/>
          <w:lang w:eastAsia="ja-JP"/>
        </w:rPr>
      </w:pPr>
      <w:r w:rsidRPr="00F30727">
        <w:rPr>
          <w:rFonts w:ascii="Arial" w:hAnsi="Arial" w:cs="Arial"/>
          <w:b/>
          <w:bCs/>
          <w:lang w:eastAsia="ja-JP"/>
        </w:rPr>
        <w:t xml:space="preserve">Temporary inapplicable: </w:t>
      </w:r>
      <w:r w:rsidRPr="6BB0BBE8">
        <w:rPr>
          <w:rFonts w:ascii="Arial" w:hAnsi="Arial" w:cs="Arial"/>
          <w:b/>
          <w:bCs/>
          <w:lang w:eastAsia="ja-JP"/>
        </w:rPr>
        <w:t xml:space="preserve">For the case when </w:t>
      </w:r>
      <w:r w:rsidRPr="00F30727">
        <w:rPr>
          <w:rFonts w:ascii="Arial" w:hAnsi="Arial" w:cs="Arial"/>
          <w:b/>
          <w:bCs/>
          <w:lang w:eastAsia="ja-JP"/>
        </w:rPr>
        <w:t>the UE side has a trained model for the configured CSI-</w:t>
      </w:r>
      <w:proofErr w:type="spellStart"/>
      <w:r w:rsidRPr="00F30727">
        <w:rPr>
          <w:rFonts w:ascii="Arial" w:hAnsi="Arial" w:cs="Arial"/>
          <w:b/>
          <w:bCs/>
          <w:lang w:eastAsia="ja-JP"/>
        </w:rPr>
        <w:t>ReportConfig</w:t>
      </w:r>
      <w:proofErr w:type="spellEnd"/>
      <w:r w:rsidRPr="00F30727">
        <w:rPr>
          <w:rFonts w:ascii="Arial" w:hAnsi="Arial" w:cs="Arial"/>
          <w:b/>
          <w:bCs/>
          <w:lang w:eastAsia="ja-JP"/>
        </w:rPr>
        <w:t xml:space="preserve"> (containing inference config or inference related parameter set), but </w:t>
      </w:r>
      <w:r w:rsidRPr="6BB0BBE8">
        <w:rPr>
          <w:rFonts w:ascii="Arial" w:hAnsi="Arial" w:cs="Arial"/>
          <w:b/>
          <w:bCs/>
          <w:lang w:eastAsia="ja-JP"/>
        </w:rPr>
        <w:t xml:space="preserve">the model </w:t>
      </w:r>
      <w:proofErr w:type="gramStart"/>
      <w:r w:rsidRPr="6BB0BBE8">
        <w:rPr>
          <w:rFonts w:ascii="Arial" w:hAnsi="Arial" w:cs="Arial"/>
          <w:b/>
          <w:bCs/>
          <w:lang w:eastAsia="ja-JP"/>
        </w:rPr>
        <w:t>is</w:t>
      </w:r>
      <w:r w:rsidRPr="00F30727">
        <w:rPr>
          <w:rFonts w:ascii="Arial" w:hAnsi="Arial" w:cs="Arial"/>
          <w:b/>
          <w:bCs/>
          <w:lang w:eastAsia="ja-JP"/>
        </w:rPr>
        <w:t xml:space="preserve"> not be</w:t>
      </w:r>
      <w:proofErr w:type="gramEnd"/>
      <w:r w:rsidRPr="00F30727">
        <w:rPr>
          <w:rFonts w:ascii="Arial" w:hAnsi="Arial" w:cs="Arial"/>
          <w:b/>
          <w:bCs/>
          <w:lang w:eastAsia="ja-JP"/>
        </w:rPr>
        <w:t xml:space="preserve"> available </w:t>
      </w:r>
      <w:r w:rsidRPr="6BB0BBE8">
        <w:rPr>
          <w:rFonts w:ascii="Arial" w:hAnsi="Arial" w:cs="Arial"/>
          <w:b/>
          <w:bCs/>
          <w:lang w:eastAsia="ja-JP"/>
        </w:rPr>
        <w:t>for inference</w:t>
      </w:r>
      <w:r w:rsidRPr="00F30727">
        <w:rPr>
          <w:rFonts w:ascii="Arial" w:hAnsi="Arial" w:cs="Arial"/>
          <w:b/>
          <w:bCs/>
          <w:lang w:eastAsia="ja-JP"/>
        </w:rPr>
        <w:t>.</w:t>
      </w:r>
    </w:p>
    <w:p w14:paraId="2D8A9770" w14:textId="77777777" w:rsidR="00306EA1" w:rsidRDefault="00306EA1" w:rsidP="00306EA1">
      <w:pPr>
        <w:pStyle w:val="BodyText"/>
        <w:numPr>
          <w:ilvl w:val="0"/>
          <w:numId w:val="19"/>
        </w:numPr>
        <w:spacing w:after="0"/>
        <w:jc w:val="left"/>
        <w:rPr>
          <w:rFonts w:ascii="Arial" w:hAnsi="Arial" w:cs="Arial"/>
          <w:b/>
          <w:bCs/>
          <w:lang w:eastAsia="ja-JP"/>
        </w:rPr>
      </w:pPr>
      <w:r w:rsidRPr="00F30727">
        <w:rPr>
          <w:rFonts w:ascii="Arial" w:hAnsi="Arial" w:cs="Arial"/>
          <w:b/>
          <w:bCs/>
          <w:lang w:eastAsia="ja-JP"/>
        </w:rPr>
        <w:t>Inapplicable:</w:t>
      </w:r>
      <w:r w:rsidRPr="6BB0BBE8">
        <w:rPr>
          <w:rFonts w:ascii="Arial" w:hAnsi="Arial" w:cs="Arial"/>
          <w:b/>
          <w:bCs/>
          <w:lang w:eastAsia="ja-JP"/>
        </w:rPr>
        <w:t xml:space="preserve"> For the case when</w:t>
      </w:r>
      <w:r w:rsidRPr="00F30727">
        <w:rPr>
          <w:rFonts w:ascii="Arial" w:hAnsi="Arial" w:cs="Arial"/>
          <w:b/>
          <w:bCs/>
          <w:lang w:eastAsia="ja-JP"/>
        </w:rPr>
        <w:t xml:space="preserve"> UE side does not have a trained model for the configured CSI-</w:t>
      </w:r>
      <w:proofErr w:type="spellStart"/>
      <w:r w:rsidRPr="00F30727">
        <w:rPr>
          <w:rFonts w:ascii="Arial" w:hAnsi="Arial" w:cs="Arial"/>
          <w:b/>
          <w:bCs/>
          <w:lang w:eastAsia="ja-JP"/>
        </w:rPr>
        <w:t>ReportConfig</w:t>
      </w:r>
      <w:proofErr w:type="spellEnd"/>
      <w:r w:rsidRPr="00F30727">
        <w:rPr>
          <w:rFonts w:ascii="Arial" w:hAnsi="Arial" w:cs="Arial"/>
          <w:b/>
          <w:bCs/>
          <w:lang w:eastAsia="ja-JP"/>
        </w:rPr>
        <w:t xml:space="preserve"> (containing inference config or inference related parameter set).</w:t>
      </w:r>
      <w:r w:rsidRPr="6BB0BBE8">
        <w:rPr>
          <w:rFonts w:ascii="Arial" w:hAnsi="Arial" w:cs="Arial"/>
          <w:b/>
          <w:bCs/>
          <w:lang w:eastAsia="ja-JP"/>
        </w:rPr>
        <w:t xml:space="preserve"> The model will not be available on this device for the </w:t>
      </w:r>
      <w:proofErr w:type="spellStart"/>
      <w:r w:rsidRPr="6BB0BBE8">
        <w:rPr>
          <w:rFonts w:ascii="Arial" w:hAnsi="Arial" w:cs="Arial"/>
          <w:b/>
          <w:bCs/>
          <w:lang w:eastAsia="ja-JP"/>
        </w:rPr>
        <w:t>forseeable</w:t>
      </w:r>
      <w:proofErr w:type="spellEnd"/>
      <w:r w:rsidRPr="6BB0BBE8">
        <w:rPr>
          <w:rFonts w:ascii="Arial" w:hAnsi="Arial" w:cs="Arial"/>
          <w:b/>
          <w:bCs/>
          <w:lang w:eastAsia="ja-JP"/>
        </w:rPr>
        <w:t xml:space="preserve"> future.</w:t>
      </w:r>
    </w:p>
    <w:p w14:paraId="38E05D29" w14:textId="77777777" w:rsidR="00306EA1" w:rsidRDefault="00306EA1" w:rsidP="00306EA1">
      <w:pPr>
        <w:pStyle w:val="BodyText"/>
        <w:spacing w:after="0"/>
        <w:jc w:val="left"/>
        <w:rPr>
          <w:rFonts w:ascii="Arial" w:hAnsi="Arial" w:cs="Arial"/>
          <w:b/>
          <w:bCs/>
          <w:lang w:eastAsia="ja-JP"/>
        </w:rPr>
      </w:pPr>
    </w:p>
    <w:p w14:paraId="109C0BE5" w14:textId="38D3ABF9" w:rsidR="00306EA1" w:rsidRDefault="00306EA1" w:rsidP="00F241DE">
      <w:pPr>
        <w:pStyle w:val="BodyText"/>
        <w:spacing w:after="0"/>
        <w:jc w:val="left"/>
        <w:rPr>
          <w:rFonts w:ascii="Arial" w:hAnsi="Arial" w:cs="Arial"/>
          <w:b/>
          <w:bCs/>
          <w:lang w:eastAsia="ja-JP"/>
        </w:rPr>
      </w:pPr>
      <w:r w:rsidRPr="00F30727">
        <w:rPr>
          <w:rFonts w:ascii="Arial" w:hAnsi="Arial" w:cs="Arial"/>
          <w:b/>
          <w:bCs/>
          <w:lang w:eastAsia="ja-JP"/>
        </w:rPr>
        <w:t xml:space="preserve">Proposal </w:t>
      </w:r>
      <w:r>
        <w:rPr>
          <w:rFonts w:ascii="Arial" w:hAnsi="Arial" w:cs="Arial"/>
          <w:b/>
          <w:bCs/>
          <w:lang w:eastAsia="ja-JP"/>
        </w:rPr>
        <w:t>4</w:t>
      </w:r>
      <w:r w:rsidRPr="00F30727">
        <w:rPr>
          <w:rFonts w:ascii="Arial" w:hAnsi="Arial" w:cs="Arial"/>
          <w:b/>
          <w:bCs/>
          <w:lang w:eastAsia="ja-JP"/>
        </w:rPr>
        <w:t xml:space="preserve">: Other </w:t>
      </w:r>
      <w:r w:rsidRPr="6BB0BBE8">
        <w:rPr>
          <w:rFonts w:ascii="Arial" w:hAnsi="Arial" w:cs="Arial"/>
          <w:b/>
          <w:bCs/>
          <w:lang w:eastAsia="ja-JP"/>
        </w:rPr>
        <w:t xml:space="preserve">reasons for </w:t>
      </w:r>
      <w:r w:rsidRPr="00F30727">
        <w:rPr>
          <w:rFonts w:ascii="Arial" w:hAnsi="Arial" w:cs="Arial"/>
          <w:b/>
          <w:bCs/>
          <w:lang w:eastAsia="ja-JP"/>
        </w:rPr>
        <w:t>inapplicability</w:t>
      </w:r>
      <w:r w:rsidRPr="6BB0BBE8">
        <w:rPr>
          <w:rFonts w:ascii="Arial" w:hAnsi="Arial" w:cs="Arial"/>
          <w:b/>
          <w:bCs/>
          <w:lang w:eastAsia="ja-JP"/>
        </w:rPr>
        <w:t>, such as</w:t>
      </w:r>
      <w:r w:rsidRPr="00F30727">
        <w:rPr>
          <w:rFonts w:ascii="Arial" w:hAnsi="Arial" w:cs="Arial"/>
          <w:b/>
          <w:bCs/>
          <w:lang w:eastAsia="ja-JP"/>
        </w:rPr>
        <w:t xml:space="preserve"> due to memory, power</w:t>
      </w:r>
      <w:r w:rsidRPr="6BB0BBE8">
        <w:rPr>
          <w:rFonts w:ascii="Arial" w:hAnsi="Arial" w:cs="Arial"/>
          <w:b/>
          <w:bCs/>
          <w:lang w:eastAsia="ja-JP"/>
        </w:rPr>
        <w:t>,</w:t>
      </w:r>
      <w:r w:rsidRPr="00F30727">
        <w:rPr>
          <w:rFonts w:ascii="Arial" w:hAnsi="Arial" w:cs="Arial"/>
          <w:b/>
          <w:bCs/>
          <w:lang w:eastAsia="ja-JP"/>
        </w:rPr>
        <w:t xml:space="preserve"> </w:t>
      </w:r>
      <w:r>
        <w:rPr>
          <w:rFonts w:ascii="Arial" w:hAnsi="Arial" w:cs="Arial"/>
          <w:b/>
          <w:bCs/>
          <w:lang w:eastAsia="ja-JP"/>
        </w:rPr>
        <w:t xml:space="preserve">are </w:t>
      </w:r>
      <w:r w:rsidRPr="00F30727">
        <w:rPr>
          <w:rFonts w:ascii="Arial" w:hAnsi="Arial" w:cs="Arial"/>
          <w:b/>
          <w:bCs/>
          <w:lang w:eastAsia="ja-JP"/>
        </w:rPr>
        <w:t xml:space="preserve">UE’s proprietary information and </w:t>
      </w:r>
      <w:r w:rsidRPr="6BB0BBE8">
        <w:rPr>
          <w:rFonts w:ascii="Arial" w:hAnsi="Arial" w:cs="Arial"/>
          <w:b/>
          <w:bCs/>
          <w:lang w:eastAsia="ja-JP"/>
        </w:rPr>
        <w:t xml:space="preserve">shall </w:t>
      </w:r>
      <w:r w:rsidRPr="00F30727">
        <w:rPr>
          <w:rFonts w:ascii="Arial" w:hAnsi="Arial" w:cs="Arial"/>
          <w:b/>
          <w:bCs/>
          <w:lang w:eastAsia="ja-JP"/>
        </w:rPr>
        <w:t xml:space="preserve">not be signaled. </w:t>
      </w:r>
    </w:p>
    <w:p w14:paraId="19C3AF13" w14:textId="77777777" w:rsidR="00230325" w:rsidRDefault="00230325" w:rsidP="00F241DE">
      <w:pPr>
        <w:pStyle w:val="BodyText"/>
        <w:spacing w:after="0"/>
        <w:jc w:val="left"/>
        <w:rPr>
          <w:rFonts w:ascii="Arial" w:hAnsi="Arial" w:cs="Arial"/>
          <w:b/>
          <w:bCs/>
          <w:lang w:eastAsia="ja-JP"/>
        </w:rPr>
      </w:pPr>
    </w:p>
    <w:p w14:paraId="100DCAA5" w14:textId="77777777" w:rsidR="00230325" w:rsidRPr="00074235" w:rsidRDefault="00230325" w:rsidP="00230325">
      <w:pPr>
        <w:pStyle w:val="BodyText"/>
        <w:spacing w:after="0"/>
        <w:jc w:val="left"/>
        <w:rPr>
          <w:rFonts w:ascii="Arial" w:hAnsi="Arial" w:cs="Arial"/>
          <w:lang w:eastAsia="ja-JP"/>
        </w:rPr>
      </w:pPr>
      <w:r w:rsidRPr="00074235">
        <w:rPr>
          <w:rFonts w:ascii="Arial" w:hAnsi="Arial" w:cs="Arial"/>
          <w:lang w:eastAsia="ja-JP"/>
        </w:rPr>
        <w:t xml:space="preserve">Observation 5:  For the applicability/inapplicability reporting, the following aspects should be further discussed </w:t>
      </w:r>
    </w:p>
    <w:p w14:paraId="7C23CFDB" w14:textId="77777777" w:rsidR="00230325" w:rsidRPr="00074235" w:rsidRDefault="00230325" w:rsidP="00230325">
      <w:pPr>
        <w:pStyle w:val="BodyText"/>
        <w:numPr>
          <w:ilvl w:val="0"/>
          <w:numId w:val="21"/>
        </w:numPr>
        <w:spacing w:after="0"/>
        <w:jc w:val="left"/>
        <w:rPr>
          <w:rFonts w:ascii="Arial" w:hAnsi="Arial" w:cs="Arial"/>
          <w:lang w:eastAsia="ja-JP"/>
        </w:rPr>
      </w:pPr>
      <w:r w:rsidRPr="00074235">
        <w:rPr>
          <w:rFonts w:ascii="Arial" w:hAnsi="Arial" w:cs="Arial"/>
          <w:lang w:eastAsia="ja-JP"/>
        </w:rPr>
        <w:t xml:space="preserve">What should be the reference for initial applicability/inapplicability reporting? </w:t>
      </w:r>
    </w:p>
    <w:p w14:paraId="04E9F0CC" w14:textId="77777777" w:rsidR="00230325" w:rsidRPr="00074235" w:rsidRDefault="00230325" w:rsidP="00230325">
      <w:pPr>
        <w:pStyle w:val="BodyText"/>
        <w:numPr>
          <w:ilvl w:val="0"/>
          <w:numId w:val="21"/>
        </w:numPr>
        <w:spacing w:after="0"/>
        <w:jc w:val="left"/>
        <w:rPr>
          <w:rFonts w:ascii="Arial" w:hAnsi="Arial" w:cs="Arial"/>
          <w:lang w:eastAsia="ja-JP"/>
        </w:rPr>
      </w:pPr>
      <w:r w:rsidRPr="00074235">
        <w:rPr>
          <w:rFonts w:ascii="Arial" w:hAnsi="Arial" w:cs="Arial"/>
          <w:lang w:eastAsia="ja-JP"/>
        </w:rPr>
        <w:t>How should the UE report the applicability of the configuration provided by earlier RRCReconfiguration messages?</w:t>
      </w:r>
    </w:p>
    <w:p w14:paraId="057FB9F6" w14:textId="77777777" w:rsidR="00230325" w:rsidRPr="00074235" w:rsidRDefault="00230325" w:rsidP="00F241DE">
      <w:pPr>
        <w:pStyle w:val="BodyText"/>
        <w:spacing w:after="0"/>
        <w:jc w:val="left"/>
        <w:rPr>
          <w:rFonts w:ascii="Arial" w:hAnsi="Arial" w:cs="Arial"/>
          <w:lang w:eastAsia="ja-JP"/>
        </w:rPr>
      </w:pPr>
    </w:p>
    <w:p w14:paraId="23606B4D" w14:textId="77777777" w:rsidR="00993532" w:rsidRPr="00074235" w:rsidRDefault="00993532" w:rsidP="00993532">
      <w:pPr>
        <w:pStyle w:val="BodyText"/>
        <w:spacing w:after="0"/>
        <w:jc w:val="left"/>
        <w:rPr>
          <w:rFonts w:ascii="Arial" w:hAnsi="Arial" w:cs="Arial"/>
          <w:lang w:eastAsia="ja-JP"/>
        </w:rPr>
      </w:pPr>
      <w:r w:rsidRPr="00074235">
        <w:rPr>
          <w:rFonts w:ascii="Arial" w:hAnsi="Arial" w:cs="Arial"/>
          <w:lang w:eastAsia="ja-JP"/>
        </w:rPr>
        <w:t>Observation 6: The following can be considered as initial applicability and applicability reporting,</w:t>
      </w:r>
    </w:p>
    <w:p w14:paraId="4501418A" w14:textId="77777777" w:rsidR="00993532" w:rsidRPr="00074235" w:rsidRDefault="00993532" w:rsidP="00993532">
      <w:pPr>
        <w:pStyle w:val="BodyText"/>
        <w:numPr>
          <w:ilvl w:val="0"/>
          <w:numId w:val="24"/>
        </w:numPr>
        <w:spacing w:after="0"/>
        <w:ind w:left="1224"/>
        <w:jc w:val="left"/>
        <w:rPr>
          <w:rFonts w:ascii="Arial" w:hAnsi="Arial" w:cs="Arial"/>
          <w:lang w:eastAsia="ja-JP"/>
        </w:rPr>
      </w:pPr>
      <w:r w:rsidRPr="00074235">
        <w:rPr>
          <w:rFonts w:ascii="Arial" w:hAnsi="Arial" w:cs="Arial"/>
          <w:lang w:eastAsia="ja-JP"/>
        </w:rPr>
        <w:t xml:space="preserve">The first applicability/inapplicability report sent after each RRCReconfiguration is considered the initial applicability/inapplicability report if the RRCReconfiguration contains one or more full inference configurations for applicability determination (option A) or one or more inference-related parameter sets for applicability determination (option B), or </w:t>
      </w:r>
    </w:p>
    <w:p w14:paraId="5C3C196E" w14:textId="77777777" w:rsidR="00993532" w:rsidRPr="00074235" w:rsidRDefault="00993532" w:rsidP="00993532">
      <w:pPr>
        <w:pStyle w:val="BodyText"/>
        <w:numPr>
          <w:ilvl w:val="0"/>
          <w:numId w:val="24"/>
        </w:numPr>
        <w:spacing w:after="0"/>
        <w:ind w:left="1224"/>
        <w:jc w:val="left"/>
        <w:rPr>
          <w:rFonts w:ascii="Arial" w:hAnsi="Arial" w:cs="Arial"/>
          <w:lang w:eastAsia="ja-JP"/>
        </w:rPr>
      </w:pPr>
      <w:r w:rsidRPr="00074235">
        <w:rPr>
          <w:rFonts w:ascii="Arial" w:hAnsi="Arial" w:cs="Arial"/>
          <w:lang w:eastAsia="ja-JP"/>
        </w:rPr>
        <w:t xml:space="preserve">The first applicability/inapplicability report sent after each RRCReconfiguration containing </w:t>
      </w:r>
      <w:proofErr w:type="spellStart"/>
      <w:r w:rsidRPr="00074235">
        <w:rPr>
          <w:rFonts w:ascii="Arial" w:hAnsi="Arial" w:cs="Arial"/>
          <w:lang w:eastAsia="ja-JP"/>
        </w:rPr>
        <w:t>fullConfig</w:t>
      </w:r>
      <w:proofErr w:type="spellEnd"/>
      <w:r w:rsidRPr="00074235">
        <w:rPr>
          <w:rFonts w:ascii="Arial" w:hAnsi="Arial" w:cs="Arial"/>
          <w:lang w:eastAsia="ja-JP"/>
        </w:rPr>
        <w:t xml:space="preserve"> is considered the initial applicability/inapplicability report if the RRCReconfiguration contains one or more full inference configurations for applicability determination (option A) or inference-related parameter sets for applicability determination (option B), or </w:t>
      </w:r>
    </w:p>
    <w:p w14:paraId="08A88A0C" w14:textId="77777777" w:rsidR="00993532" w:rsidRPr="00074235" w:rsidRDefault="00993532" w:rsidP="00993532">
      <w:pPr>
        <w:pStyle w:val="BodyText"/>
        <w:numPr>
          <w:ilvl w:val="0"/>
          <w:numId w:val="24"/>
        </w:numPr>
        <w:spacing w:after="0"/>
        <w:ind w:left="1224"/>
        <w:jc w:val="left"/>
        <w:rPr>
          <w:rFonts w:ascii="Arial" w:hAnsi="Arial" w:cs="Arial"/>
          <w:lang w:eastAsia="ja-JP"/>
        </w:rPr>
      </w:pPr>
      <w:r w:rsidRPr="00074235">
        <w:rPr>
          <w:rFonts w:ascii="Arial" w:hAnsi="Arial" w:cs="Arial"/>
          <w:lang w:eastAsia="ja-JP"/>
        </w:rPr>
        <w:t xml:space="preserve">The first applicability/inapplicability report sent after each RRCReconfiguration containing HO Command is considered the initial applicability/inapplicability report if the RRCReconfiguration contains one or more full inference configurations for applicability determination (option A) or one or more inference-related parameter sets for applicability determination (option B).   </w:t>
      </w:r>
    </w:p>
    <w:p w14:paraId="79C3E5E4" w14:textId="77777777" w:rsidR="00993532" w:rsidRDefault="00993532" w:rsidP="00F241DE">
      <w:pPr>
        <w:pStyle w:val="BodyText"/>
        <w:spacing w:after="0"/>
        <w:jc w:val="left"/>
        <w:rPr>
          <w:rFonts w:ascii="Arial" w:hAnsi="Arial" w:cs="Arial"/>
          <w:b/>
          <w:bCs/>
          <w:lang w:eastAsia="ja-JP"/>
        </w:rPr>
      </w:pPr>
    </w:p>
    <w:p w14:paraId="22900367" w14:textId="77777777" w:rsidR="00993532" w:rsidRPr="00A222E4" w:rsidRDefault="00993532" w:rsidP="00993532">
      <w:pPr>
        <w:pStyle w:val="BodyText"/>
        <w:spacing w:after="0"/>
        <w:jc w:val="left"/>
        <w:rPr>
          <w:rFonts w:ascii="Arial" w:hAnsi="Arial" w:cs="Arial"/>
          <w:b/>
          <w:bCs/>
          <w:lang w:eastAsia="ja-JP"/>
        </w:rPr>
      </w:pPr>
      <w:r>
        <w:rPr>
          <w:rFonts w:ascii="Arial" w:hAnsi="Arial" w:cs="Arial"/>
          <w:b/>
          <w:bCs/>
          <w:lang w:eastAsia="ja-JP"/>
        </w:rPr>
        <w:t>Proposal 5: The</w:t>
      </w:r>
      <w:r w:rsidRPr="00A222E4">
        <w:rPr>
          <w:rFonts w:ascii="Arial" w:hAnsi="Arial" w:cs="Arial"/>
          <w:b/>
          <w:bCs/>
          <w:lang w:eastAsia="ja-JP"/>
        </w:rPr>
        <w:t xml:space="preserve"> first applicability/inapplicability report sent after each RRCReconfiguration is considered </w:t>
      </w:r>
      <w:r>
        <w:rPr>
          <w:rFonts w:ascii="Arial" w:hAnsi="Arial" w:cs="Arial"/>
          <w:b/>
          <w:bCs/>
          <w:lang w:eastAsia="ja-JP"/>
        </w:rPr>
        <w:t>an</w:t>
      </w:r>
      <w:r w:rsidRPr="00A222E4">
        <w:rPr>
          <w:rFonts w:ascii="Arial" w:hAnsi="Arial" w:cs="Arial"/>
          <w:b/>
          <w:bCs/>
          <w:lang w:eastAsia="ja-JP"/>
        </w:rPr>
        <w:t xml:space="preserve"> initial applicability/inapplicability report if the RRCReconfiguration contains </w:t>
      </w:r>
      <w:r>
        <w:rPr>
          <w:rFonts w:ascii="Arial" w:hAnsi="Arial" w:cs="Arial"/>
          <w:b/>
          <w:bCs/>
          <w:lang w:eastAsia="ja-JP"/>
        </w:rPr>
        <w:t xml:space="preserve">one or more </w:t>
      </w:r>
      <w:r w:rsidRPr="00A222E4">
        <w:rPr>
          <w:rFonts w:ascii="Arial" w:hAnsi="Arial" w:cs="Arial"/>
          <w:b/>
          <w:bCs/>
          <w:lang w:eastAsia="ja-JP"/>
        </w:rPr>
        <w:t>full inference configuration</w:t>
      </w:r>
      <w:r>
        <w:rPr>
          <w:rFonts w:ascii="Arial" w:hAnsi="Arial" w:cs="Arial"/>
          <w:b/>
          <w:bCs/>
          <w:lang w:eastAsia="ja-JP"/>
        </w:rPr>
        <w:t>s</w:t>
      </w:r>
      <w:r w:rsidRPr="00A222E4">
        <w:rPr>
          <w:rFonts w:ascii="Arial" w:hAnsi="Arial" w:cs="Arial"/>
          <w:b/>
          <w:bCs/>
          <w:lang w:eastAsia="ja-JP"/>
        </w:rPr>
        <w:t xml:space="preserve"> for applicability determination (option A) or </w:t>
      </w:r>
      <w:r>
        <w:rPr>
          <w:rFonts w:ascii="Arial" w:hAnsi="Arial" w:cs="Arial"/>
          <w:b/>
          <w:bCs/>
          <w:lang w:eastAsia="ja-JP"/>
        </w:rPr>
        <w:t>one or more inference-related</w:t>
      </w:r>
      <w:r w:rsidRPr="00A222E4">
        <w:rPr>
          <w:rFonts w:ascii="Arial" w:hAnsi="Arial" w:cs="Arial"/>
          <w:b/>
          <w:bCs/>
          <w:lang w:eastAsia="ja-JP"/>
        </w:rPr>
        <w:t xml:space="preserve"> parameter set</w:t>
      </w:r>
      <w:r>
        <w:rPr>
          <w:rFonts w:ascii="Arial" w:hAnsi="Arial" w:cs="Arial"/>
          <w:b/>
          <w:bCs/>
          <w:lang w:eastAsia="ja-JP"/>
        </w:rPr>
        <w:t>s</w:t>
      </w:r>
      <w:r w:rsidRPr="00A222E4">
        <w:rPr>
          <w:rFonts w:ascii="Arial" w:hAnsi="Arial" w:cs="Arial"/>
          <w:b/>
          <w:bCs/>
          <w:lang w:eastAsia="ja-JP"/>
        </w:rPr>
        <w:t xml:space="preserve"> for applicability determination (option B).</w:t>
      </w:r>
    </w:p>
    <w:p w14:paraId="09DF5C4A" w14:textId="77777777" w:rsidR="00993532" w:rsidRDefault="00993532" w:rsidP="00993532">
      <w:pPr>
        <w:pStyle w:val="BodyText"/>
        <w:numPr>
          <w:ilvl w:val="0"/>
          <w:numId w:val="21"/>
        </w:numPr>
        <w:spacing w:after="0"/>
        <w:jc w:val="left"/>
        <w:rPr>
          <w:rFonts w:ascii="Arial" w:hAnsi="Arial" w:cs="Arial"/>
          <w:b/>
          <w:bCs/>
          <w:lang w:eastAsia="ja-JP"/>
        </w:rPr>
      </w:pPr>
      <w:r w:rsidRPr="00A222E4">
        <w:rPr>
          <w:rFonts w:ascii="Arial" w:hAnsi="Arial" w:cs="Arial"/>
          <w:b/>
          <w:bCs/>
          <w:lang w:eastAsia="ja-JP"/>
        </w:rPr>
        <w:t>If the RRCReconfiguration does not contain full inference configuration for applicability determination (option A) or inference related parameter set for applicability determination (option B)</w:t>
      </w:r>
      <w:r>
        <w:rPr>
          <w:rFonts w:ascii="Arial" w:hAnsi="Arial" w:cs="Arial"/>
          <w:b/>
          <w:bCs/>
          <w:lang w:eastAsia="ja-JP"/>
        </w:rPr>
        <w:t>,</w:t>
      </w:r>
      <w:r w:rsidRPr="00A222E4">
        <w:rPr>
          <w:rFonts w:ascii="Arial" w:hAnsi="Arial" w:cs="Arial"/>
          <w:b/>
          <w:bCs/>
          <w:lang w:eastAsia="ja-JP"/>
        </w:rPr>
        <w:t xml:space="preserve"> or contains full inference configuration (option B), then </w:t>
      </w:r>
      <w:r>
        <w:rPr>
          <w:rFonts w:ascii="Arial" w:hAnsi="Arial" w:cs="Arial"/>
          <w:b/>
          <w:bCs/>
          <w:lang w:eastAsia="ja-JP"/>
        </w:rPr>
        <w:t xml:space="preserve">the </w:t>
      </w:r>
      <w:r w:rsidRPr="00A222E4">
        <w:rPr>
          <w:rFonts w:ascii="Arial" w:hAnsi="Arial" w:cs="Arial"/>
          <w:b/>
          <w:bCs/>
          <w:lang w:eastAsia="ja-JP"/>
        </w:rPr>
        <w:lastRenderedPageBreak/>
        <w:t xml:space="preserve">first applicability/inapplicability report sent after such RRCReconfiguration is not considered as </w:t>
      </w:r>
      <w:r>
        <w:rPr>
          <w:rFonts w:ascii="Arial" w:hAnsi="Arial" w:cs="Arial"/>
          <w:b/>
          <w:bCs/>
          <w:lang w:eastAsia="ja-JP"/>
        </w:rPr>
        <w:t>the initial</w:t>
      </w:r>
      <w:r w:rsidRPr="00A222E4">
        <w:rPr>
          <w:rFonts w:ascii="Arial" w:hAnsi="Arial" w:cs="Arial"/>
          <w:b/>
          <w:bCs/>
          <w:lang w:eastAsia="ja-JP"/>
        </w:rPr>
        <w:t xml:space="preserve"> applicability/inapplicability report. </w:t>
      </w:r>
    </w:p>
    <w:p w14:paraId="619F9121" w14:textId="77777777" w:rsidR="00993532" w:rsidRDefault="00993532" w:rsidP="00F241DE">
      <w:pPr>
        <w:pStyle w:val="BodyText"/>
        <w:spacing w:after="0"/>
        <w:jc w:val="left"/>
        <w:rPr>
          <w:rFonts w:ascii="Arial" w:hAnsi="Arial" w:cs="Arial"/>
          <w:b/>
          <w:bCs/>
          <w:lang w:eastAsia="ja-JP"/>
        </w:rPr>
      </w:pPr>
    </w:p>
    <w:p w14:paraId="2E766648" w14:textId="77777777" w:rsidR="00993532" w:rsidRPr="00A42D37" w:rsidRDefault="00993532" w:rsidP="00993532">
      <w:pPr>
        <w:pStyle w:val="BodyText"/>
        <w:spacing w:after="0"/>
        <w:jc w:val="left"/>
        <w:rPr>
          <w:rFonts w:ascii="Arial" w:hAnsi="Arial" w:cs="Arial"/>
          <w:b/>
          <w:bCs/>
          <w:lang w:eastAsia="ja-JP"/>
        </w:rPr>
      </w:pPr>
      <w:r w:rsidRPr="00A42D37">
        <w:rPr>
          <w:rFonts w:ascii="Arial" w:hAnsi="Arial" w:cs="Arial"/>
          <w:b/>
          <w:bCs/>
          <w:lang w:eastAsia="ja-JP"/>
        </w:rPr>
        <w:t>Proposal</w:t>
      </w:r>
      <w:r>
        <w:rPr>
          <w:rFonts w:ascii="Arial" w:hAnsi="Arial" w:cs="Arial"/>
          <w:b/>
          <w:bCs/>
          <w:lang w:eastAsia="ja-JP"/>
        </w:rPr>
        <w:t xml:space="preserve"> 6</w:t>
      </w:r>
      <w:r w:rsidRPr="00A42D37">
        <w:rPr>
          <w:rFonts w:ascii="Arial" w:hAnsi="Arial" w:cs="Arial"/>
          <w:b/>
          <w:bCs/>
          <w:lang w:eastAsia="ja-JP"/>
        </w:rPr>
        <w:t xml:space="preserve">: UE </w:t>
      </w:r>
      <w:r>
        <w:rPr>
          <w:rFonts w:ascii="Arial" w:hAnsi="Arial" w:cs="Arial"/>
          <w:b/>
          <w:bCs/>
          <w:lang w:eastAsia="ja-JP"/>
        </w:rPr>
        <w:t>reports</w:t>
      </w:r>
      <w:r w:rsidRPr="00A42D37">
        <w:rPr>
          <w:rFonts w:ascii="Arial" w:hAnsi="Arial" w:cs="Arial"/>
          <w:b/>
          <w:bCs/>
          <w:lang w:eastAsia="ja-JP"/>
        </w:rPr>
        <w:t xml:space="preserve"> the following in the first applicability report after each RRCReconfiguration </w:t>
      </w:r>
    </w:p>
    <w:p w14:paraId="0F3EAD21" w14:textId="77777777" w:rsidR="00993532" w:rsidRPr="00A42D37" w:rsidRDefault="00993532" w:rsidP="00993532">
      <w:pPr>
        <w:pStyle w:val="BodyText"/>
        <w:numPr>
          <w:ilvl w:val="0"/>
          <w:numId w:val="21"/>
        </w:numPr>
        <w:spacing w:after="0"/>
        <w:jc w:val="left"/>
        <w:rPr>
          <w:rFonts w:ascii="Arial" w:hAnsi="Arial" w:cs="Arial"/>
          <w:b/>
          <w:bCs/>
          <w:lang w:eastAsia="ja-JP"/>
        </w:rPr>
      </w:pPr>
      <w:r w:rsidRPr="00A42D37">
        <w:rPr>
          <w:rFonts w:ascii="Arial" w:hAnsi="Arial" w:cs="Arial"/>
          <w:b/>
          <w:bCs/>
          <w:lang w:eastAsia="ja-JP"/>
        </w:rPr>
        <w:t xml:space="preserve">Change in applicability of one or more inference configurations for applicability determination (option </w:t>
      </w:r>
      <w:r>
        <w:rPr>
          <w:rFonts w:ascii="Arial" w:hAnsi="Arial" w:cs="Arial"/>
          <w:b/>
          <w:bCs/>
          <w:lang w:eastAsia="ja-JP"/>
        </w:rPr>
        <w:t>A), one</w:t>
      </w:r>
      <w:r w:rsidRPr="00A42D37">
        <w:rPr>
          <w:rFonts w:ascii="Arial" w:hAnsi="Arial" w:cs="Arial"/>
          <w:b/>
          <w:bCs/>
          <w:lang w:eastAsia="ja-JP"/>
        </w:rPr>
        <w:t xml:space="preserve"> or more inference configurations for inference (option B), or one or more inference related parameter </w:t>
      </w:r>
      <w:r>
        <w:rPr>
          <w:rFonts w:ascii="Arial" w:hAnsi="Arial" w:cs="Arial"/>
          <w:b/>
          <w:bCs/>
          <w:lang w:eastAsia="ja-JP"/>
        </w:rPr>
        <w:t>sets</w:t>
      </w:r>
      <w:r w:rsidRPr="00A42D37">
        <w:rPr>
          <w:rFonts w:ascii="Arial" w:hAnsi="Arial" w:cs="Arial"/>
          <w:b/>
          <w:bCs/>
          <w:lang w:eastAsia="ja-JP"/>
        </w:rPr>
        <w:t xml:space="preserve"> for applicability determination (option B) configured by previous </w:t>
      </w:r>
      <w:proofErr w:type="spellStart"/>
      <w:r w:rsidRPr="00A42D37">
        <w:rPr>
          <w:rFonts w:ascii="Arial" w:hAnsi="Arial" w:cs="Arial"/>
          <w:b/>
          <w:bCs/>
          <w:lang w:eastAsia="ja-JP"/>
        </w:rPr>
        <w:t>RRCReconfigurations</w:t>
      </w:r>
      <w:proofErr w:type="spellEnd"/>
      <w:r w:rsidRPr="00A42D37">
        <w:rPr>
          <w:rFonts w:ascii="Arial" w:hAnsi="Arial" w:cs="Arial"/>
          <w:b/>
          <w:bCs/>
          <w:lang w:eastAsia="ja-JP"/>
        </w:rPr>
        <w:t xml:space="preserve"> </w:t>
      </w:r>
      <w:r>
        <w:rPr>
          <w:rFonts w:ascii="Arial" w:hAnsi="Arial" w:cs="Arial"/>
          <w:b/>
          <w:bCs/>
          <w:lang w:eastAsia="ja-JP"/>
        </w:rPr>
        <w:t>and</w:t>
      </w:r>
      <w:r w:rsidRPr="00A42D37">
        <w:rPr>
          <w:rFonts w:ascii="Arial" w:hAnsi="Arial" w:cs="Arial"/>
          <w:b/>
          <w:bCs/>
          <w:lang w:eastAsia="ja-JP"/>
        </w:rPr>
        <w:t xml:space="preserve"> not released, and</w:t>
      </w:r>
    </w:p>
    <w:p w14:paraId="72847DB6" w14:textId="77777777" w:rsidR="00993532" w:rsidRDefault="00993532" w:rsidP="00993532">
      <w:pPr>
        <w:pStyle w:val="BodyText"/>
        <w:numPr>
          <w:ilvl w:val="0"/>
          <w:numId w:val="21"/>
        </w:numPr>
        <w:spacing w:after="0"/>
        <w:jc w:val="left"/>
        <w:rPr>
          <w:rFonts w:ascii="Arial" w:hAnsi="Arial" w:cs="Arial"/>
          <w:b/>
          <w:bCs/>
          <w:lang w:eastAsia="ja-JP"/>
        </w:rPr>
      </w:pPr>
      <w:proofErr w:type="spellStart"/>
      <w:r w:rsidRPr="00A42D37">
        <w:rPr>
          <w:rFonts w:ascii="Arial" w:hAnsi="Arial" w:cs="Arial"/>
          <w:b/>
          <w:bCs/>
          <w:lang w:eastAsia="ja-JP"/>
        </w:rPr>
        <w:t>Explicity</w:t>
      </w:r>
      <w:proofErr w:type="spellEnd"/>
      <w:r w:rsidRPr="00A42D37">
        <w:rPr>
          <w:rFonts w:ascii="Arial" w:hAnsi="Arial" w:cs="Arial"/>
          <w:b/>
          <w:bCs/>
          <w:lang w:eastAsia="ja-JP"/>
        </w:rPr>
        <w:t xml:space="preserve"> report applicability/inapplicability of one or more full inference configurations for applicability determination (option A) or one or more </w:t>
      </w:r>
      <w:r>
        <w:rPr>
          <w:rFonts w:ascii="Arial" w:hAnsi="Arial" w:cs="Arial"/>
          <w:b/>
          <w:bCs/>
          <w:lang w:eastAsia="ja-JP"/>
        </w:rPr>
        <w:t>inference-related</w:t>
      </w:r>
      <w:r w:rsidRPr="00A42D37">
        <w:rPr>
          <w:rFonts w:ascii="Arial" w:hAnsi="Arial" w:cs="Arial"/>
          <w:b/>
          <w:bCs/>
          <w:lang w:eastAsia="ja-JP"/>
        </w:rPr>
        <w:t xml:space="preserve"> parameter sets for applicability determination (option B) configured in the latest RRCReconfiguration.</w:t>
      </w:r>
    </w:p>
    <w:p w14:paraId="5FD7AE32" w14:textId="77777777" w:rsidR="00993532" w:rsidRDefault="00993532" w:rsidP="00993532">
      <w:pPr>
        <w:pStyle w:val="BodyText"/>
        <w:spacing w:after="0"/>
        <w:jc w:val="left"/>
        <w:rPr>
          <w:rFonts w:ascii="Arial" w:hAnsi="Arial" w:cs="Arial"/>
          <w:b/>
          <w:bCs/>
          <w:lang w:eastAsia="ja-JP"/>
        </w:rPr>
      </w:pPr>
    </w:p>
    <w:p w14:paraId="70429066" w14:textId="622314A3" w:rsidR="00993532" w:rsidRDefault="00993532" w:rsidP="00993532">
      <w:pPr>
        <w:pStyle w:val="BodyText"/>
        <w:spacing w:after="0"/>
        <w:jc w:val="left"/>
        <w:rPr>
          <w:rFonts w:ascii="Arial" w:hAnsi="Arial" w:cs="Arial"/>
          <w:b/>
          <w:bCs/>
          <w:lang w:eastAsia="ja-JP"/>
        </w:rPr>
      </w:pPr>
      <w:r>
        <w:rPr>
          <w:rFonts w:ascii="Arial" w:hAnsi="Arial" w:cs="Arial"/>
          <w:b/>
          <w:bCs/>
          <w:lang w:eastAsia="ja-JP"/>
        </w:rPr>
        <w:t>Proposal 7: UE should be allowed to report changes</w:t>
      </w:r>
      <w:r w:rsidRPr="00A42D37">
        <w:rPr>
          <w:rFonts w:ascii="Arial" w:hAnsi="Arial" w:cs="Arial"/>
          <w:b/>
          <w:bCs/>
          <w:lang w:eastAsia="ja-JP"/>
        </w:rPr>
        <w:t xml:space="preserve"> in </w:t>
      </w:r>
      <w:r>
        <w:rPr>
          <w:rFonts w:ascii="Arial" w:hAnsi="Arial" w:cs="Arial"/>
          <w:b/>
          <w:bCs/>
          <w:lang w:eastAsia="ja-JP"/>
        </w:rPr>
        <w:t xml:space="preserve">the </w:t>
      </w:r>
      <w:r w:rsidRPr="00A42D37">
        <w:rPr>
          <w:rFonts w:ascii="Arial" w:hAnsi="Arial" w:cs="Arial"/>
          <w:b/>
          <w:bCs/>
          <w:lang w:eastAsia="ja-JP"/>
        </w:rPr>
        <w:t xml:space="preserve">applicability of one or more inference configurations for applicability determination (option </w:t>
      </w:r>
      <w:r>
        <w:rPr>
          <w:rFonts w:ascii="Arial" w:hAnsi="Arial" w:cs="Arial"/>
          <w:b/>
          <w:bCs/>
          <w:lang w:eastAsia="ja-JP"/>
        </w:rPr>
        <w:t>A), one</w:t>
      </w:r>
      <w:r w:rsidRPr="00A42D37">
        <w:rPr>
          <w:rFonts w:ascii="Arial" w:hAnsi="Arial" w:cs="Arial"/>
          <w:b/>
          <w:bCs/>
          <w:lang w:eastAsia="ja-JP"/>
        </w:rPr>
        <w:t xml:space="preserve"> or more inference configurations for inference (option B), or one or more </w:t>
      </w:r>
      <w:r>
        <w:rPr>
          <w:rFonts w:ascii="Arial" w:hAnsi="Arial" w:cs="Arial"/>
          <w:b/>
          <w:bCs/>
          <w:lang w:eastAsia="ja-JP"/>
        </w:rPr>
        <w:t>inference-related</w:t>
      </w:r>
      <w:r w:rsidRPr="00A42D37">
        <w:rPr>
          <w:rFonts w:ascii="Arial" w:hAnsi="Arial" w:cs="Arial"/>
          <w:b/>
          <w:bCs/>
          <w:lang w:eastAsia="ja-JP"/>
        </w:rPr>
        <w:t xml:space="preserve"> parameter </w:t>
      </w:r>
      <w:r>
        <w:rPr>
          <w:rFonts w:ascii="Arial" w:hAnsi="Arial" w:cs="Arial"/>
          <w:b/>
          <w:bCs/>
          <w:lang w:eastAsia="ja-JP"/>
        </w:rPr>
        <w:t>sets</w:t>
      </w:r>
      <w:r w:rsidRPr="00A42D37">
        <w:rPr>
          <w:rFonts w:ascii="Arial" w:hAnsi="Arial" w:cs="Arial"/>
          <w:b/>
          <w:bCs/>
          <w:lang w:eastAsia="ja-JP"/>
        </w:rPr>
        <w:t xml:space="preserve"> for applicability determination (option B) configured by previous </w:t>
      </w:r>
      <w:proofErr w:type="spellStart"/>
      <w:r w:rsidRPr="00A42D37">
        <w:rPr>
          <w:rFonts w:ascii="Arial" w:hAnsi="Arial" w:cs="Arial"/>
          <w:b/>
          <w:bCs/>
          <w:lang w:eastAsia="ja-JP"/>
        </w:rPr>
        <w:t>RRCReconfigurations</w:t>
      </w:r>
      <w:proofErr w:type="spellEnd"/>
      <w:r w:rsidRPr="00A42D37">
        <w:rPr>
          <w:rFonts w:ascii="Arial" w:hAnsi="Arial" w:cs="Arial"/>
          <w:b/>
          <w:bCs/>
          <w:lang w:eastAsia="ja-JP"/>
        </w:rPr>
        <w:t xml:space="preserve"> </w:t>
      </w:r>
      <w:r>
        <w:rPr>
          <w:rFonts w:ascii="Arial" w:hAnsi="Arial" w:cs="Arial"/>
          <w:b/>
          <w:bCs/>
          <w:lang w:eastAsia="ja-JP"/>
        </w:rPr>
        <w:t>and</w:t>
      </w:r>
      <w:r w:rsidRPr="00A42D37">
        <w:rPr>
          <w:rFonts w:ascii="Arial" w:hAnsi="Arial" w:cs="Arial"/>
          <w:b/>
          <w:bCs/>
          <w:lang w:eastAsia="ja-JP"/>
        </w:rPr>
        <w:t xml:space="preserve"> not released</w:t>
      </w:r>
      <w:r w:rsidR="00C54F47">
        <w:rPr>
          <w:rFonts w:ascii="Arial" w:hAnsi="Arial" w:cs="Arial"/>
          <w:b/>
          <w:bCs/>
          <w:lang w:eastAsia="ja-JP"/>
        </w:rPr>
        <w:t xml:space="preserve"> in the </w:t>
      </w:r>
      <w:proofErr w:type="spellStart"/>
      <w:r w:rsidR="00C54F47">
        <w:rPr>
          <w:rFonts w:ascii="Arial" w:hAnsi="Arial" w:cs="Arial"/>
          <w:b/>
          <w:bCs/>
          <w:lang w:eastAsia="ja-JP"/>
        </w:rPr>
        <w:t>RRCReconfigurationComplete</w:t>
      </w:r>
      <w:proofErr w:type="spellEnd"/>
      <w:r>
        <w:rPr>
          <w:rFonts w:ascii="Arial" w:hAnsi="Arial" w:cs="Arial"/>
          <w:b/>
          <w:bCs/>
          <w:lang w:eastAsia="ja-JP"/>
        </w:rPr>
        <w:t xml:space="preserve">, </w:t>
      </w:r>
    </w:p>
    <w:p w14:paraId="40B8A3E5" w14:textId="786AD59F" w:rsidR="00993532" w:rsidRPr="00993532" w:rsidRDefault="00993532" w:rsidP="00F241DE">
      <w:pPr>
        <w:pStyle w:val="BodyText"/>
        <w:numPr>
          <w:ilvl w:val="0"/>
          <w:numId w:val="21"/>
        </w:numPr>
        <w:spacing w:after="0"/>
        <w:jc w:val="left"/>
        <w:rPr>
          <w:rFonts w:ascii="Arial" w:hAnsi="Arial" w:cs="Arial"/>
          <w:b/>
          <w:bCs/>
          <w:lang w:eastAsia="ja-JP"/>
        </w:rPr>
      </w:pPr>
      <w:r>
        <w:rPr>
          <w:rFonts w:ascii="Arial" w:hAnsi="Arial" w:cs="Arial"/>
          <w:b/>
          <w:bCs/>
          <w:lang w:eastAsia="ja-JP"/>
        </w:rPr>
        <w:t xml:space="preserve">Even if the latest RRCReconfiguration does not contain </w:t>
      </w:r>
      <w:r w:rsidRPr="00A222E4">
        <w:rPr>
          <w:rFonts w:ascii="Arial" w:hAnsi="Arial" w:cs="Arial"/>
          <w:b/>
          <w:bCs/>
          <w:lang w:eastAsia="ja-JP"/>
        </w:rPr>
        <w:t xml:space="preserve">full inference configuration for applicability determination (option A) or inference related parameter set for applicability determination (option </w:t>
      </w:r>
      <w:r>
        <w:rPr>
          <w:rFonts w:ascii="Arial" w:hAnsi="Arial" w:cs="Arial"/>
          <w:b/>
          <w:bCs/>
          <w:lang w:eastAsia="ja-JP"/>
        </w:rPr>
        <w:t>B),</w:t>
      </w:r>
      <w:r w:rsidRPr="00A222E4">
        <w:rPr>
          <w:rFonts w:ascii="Arial" w:hAnsi="Arial" w:cs="Arial"/>
          <w:b/>
          <w:bCs/>
          <w:lang w:eastAsia="ja-JP"/>
        </w:rPr>
        <w:t xml:space="preserve"> or contains full inference configuration (option B)</w:t>
      </w:r>
      <w:r>
        <w:rPr>
          <w:rFonts w:ascii="Arial" w:hAnsi="Arial" w:cs="Arial"/>
          <w:b/>
          <w:bCs/>
          <w:lang w:eastAsia="ja-JP"/>
        </w:rPr>
        <w:t>, and UE is configured to report applicability using UAI.</w:t>
      </w:r>
    </w:p>
    <w:p w14:paraId="4643E75A" w14:textId="4FDD5E21" w:rsidR="00C47139" w:rsidRPr="00550ADD" w:rsidRDefault="70050344" w:rsidP="0039008A">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line="252" w:lineRule="auto"/>
        <w:textAlignment w:val="baseline"/>
      </w:pPr>
      <w:r w:rsidRPr="00550ADD">
        <w:rPr>
          <w:b w:val="0"/>
          <w:bCs w:val="0"/>
        </w:rPr>
        <w:t>References</w:t>
      </w:r>
    </w:p>
    <w:p w14:paraId="422E03FC" w14:textId="77777777" w:rsidR="00F24A0F" w:rsidRPr="00550ADD" w:rsidRDefault="00F24A0F" w:rsidP="009C4A50">
      <w:pPr>
        <w:pStyle w:val="ListParagraph"/>
        <w:numPr>
          <w:ilvl w:val="0"/>
          <w:numId w:val="7"/>
        </w:numPr>
        <w:spacing w:after="60"/>
        <w:rPr>
          <w:rFonts w:ascii="Arial" w:hAnsi="Arial" w:cs="Arial"/>
          <w:szCs w:val="20"/>
        </w:rPr>
      </w:pPr>
      <w:hyperlink r:id="rId11" w:history="1">
        <w:r w:rsidRPr="00550ADD">
          <w:rPr>
            <w:rStyle w:val="Hyperlink"/>
            <w:rFonts w:ascii="Arial" w:hAnsi="Arial" w:cs="Arial"/>
            <w:szCs w:val="20"/>
          </w:rPr>
          <w:t>RP-213599</w:t>
        </w:r>
      </w:hyperlink>
      <w:r w:rsidRPr="00550ADD">
        <w:rPr>
          <w:rFonts w:ascii="Arial" w:hAnsi="Arial" w:cs="Arial"/>
          <w:szCs w:val="20"/>
        </w:rPr>
        <w:t>, “New SI: Study on Artificial Intelligence (AI)/Machine Learning (ML) for NR Air Interface”, TSG RAN, RAN#94-e, Dec. 2021</w:t>
      </w:r>
    </w:p>
    <w:p w14:paraId="7C029BA3" w14:textId="77777777" w:rsidR="009F49DC" w:rsidRPr="00550ADD" w:rsidRDefault="009F49DC" w:rsidP="009C4A50">
      <w:pPr>
        <w:pStyle w:val="ListParagraph"/>
        <w:numPr>
          <w:ilvl w:val="0"/>
          <w:numId w:val="7"/>
        </w:numPr>
        <w:spacing w:after="60"/>
        <w:contextualSpacing w:val="0"/>
        <w:rPr>
          <w:rFonts w:ascii="Arial" w:hAnsi="Arial" w:cs="Arial"/>
          <w:szCs w:val="20"/>
        </w:rPr>
      </w:pPr>
      <w:hyperlink r:id="rId12" w:history="1">
        <w:r w:rsidRPr="00550ADD">
          <w:rPr>
            <w:rStyle w:val="Hyperlink"/>
            <w:rFonts w:ascii="Arial" w:hAnsi="Arial" w:cs="Arial"/>
            <w:szCs w:val="20"/>
            <w:lang w:val="en-GB" w:eastAsia="zh-CN"/>
          </w:rPr>
          <w:t>TR 38.843 v18.0.0</w:t>
        </w:r>
      </w:hyperlink>
      <w:r w:rsidRPr="00550ADD">
        <w:rPr>
          <w:rFonts w:ascii="Arial" w:hAnsi="Arial" w:cs="Arial"/>
          <w:szCs w:val="20"/>
          <w:lang w:val="en-GB" w:eastAsia="zh-CN"/>
        </w:rPr>
        <w:t>, “Study on Artificial Intelligence (AI)/Machine Learning (ML) for NR air interface (Release 18),” Dec. 2023</w:t>
      </w:r>
    </w:p>
    <w:p w14:paraId="76BE1A9F" w14:textId="77777777" w:rsidR="009F49DC" w:rsidRPr="00550ADD" w:rsidRDefault="009F49DC" w:rsidP="009C4A50">
      <w:pPr>
        <w:pStyle w:val="ListParagraph"/>
        <w:numPr>
          <w:ilvl w:val="0"/>
          <w:numId w:val="7"/>
        </w:numPr>
        <w:spacing w:after="60"/>
        <w:contextualSpacing w:val="0"/>
        <w:rPr>
          <w:rFonts w:ascii="Arial" w:hAnsi="Arial" w:cs="Arial"/>
          <w:szCs w:val="20"/>
        </w:rPr>
      </w:pPr>
      <w:hyperlink r:id="rId13" w:history="1">
        <w:r w:rsidRPr="00550ADD">
          <w:rPr>
            <w:rStyle w:val="Hyperlink"/>
            <w:rFonts w:ascii="Arial" w:hAnsi="Arial" w:cs="Arial"/>
          </w:rPr>
          <w:t>RP-234039</w:t>
        </w:r>
      </w:hyperlink>
      <w:r w:rsidRPr="00550ADD">
        <w:rPr>
          <w:rFonts w:ascii="Arial" w:hAnsi="Arial" w:cs="Arial"/>
        </w:rPr>
        <w:t>, New WID on Artificial Intelligence (AI)/Machine Learning (ML) for NR Air Interface, RAN #102, Dec. 2023</w:t>
      </w:r>
    </w:p>
    <w:p w14:paraId="3F3D7DCC" w14:textId="6A349D07" w:rsidR="00DC5DD3" w:rsidRPr="00550ADD" w:rsidRDefault="00F4133D" w:rsidP="009C4A50">
      <w:pPr>
        <w:pStyle w:val="ListParagraph"/>
        <w:numPr>
          <w:ilvl w:val="0"/>
          <w:numId w:val="7"/>
        </w:numPr>
        <w:spacing w:after="60"/>
        <w:rPr>
          <w:rFonts w:ascii="Arial" w:eastAsia="Arial" w:hAnsi="Arial" w:cs="Arial"/>
          <w:bCs/>
          <w:szCs w:val="20"/>
        </w:rPr>
      </w:pPr>
      <w:r w:rsidRPr="00550ADD">
        <w:rPr>
          <w:rFonts w:ascii="Arial" w:hAnsi="Arial" w:cs="Arial"/>
        </w:rPr>
        <w:t>RAN2#129 meeting report</w:t>
      </w:r>
    </w:p>
    <w:p w14:paraId="48C7ED63" w14:textId="50D61055" w:rsidR="00996517" w:rsidRPr="00550ADD" w:rsidRDefault="00931A0B" w:rsidP="009C4A50">
      <w:pPr>
        <w:pStyle w:val="ListParagraph"/>
        <w:numPr>
          <w:ilvl w:val="0"/>
          <w:numId w:val="7"/>
        </w:numPr>
        <w:spacing w:after="60"/>
        <w:rPr>
          <w:rFonts w:ascii="Arial" w:eastAsia="Arial" w:hAnsi="Arial" w:cs="Arial"/>
          <w:szCs w:val="20"/>
        </w:rPr>
      </w:pPr>
      <w:r w:rsidRPr="00550ADD">
        <w:rPr>
          <w:rFonts w:ascii="Arial" w:eastAsia="Arial" w:hAnsi="Arial" w:cs="Arial"/>
          <w:szCs w:val="20"/>
        </w:rPr>
        <w:t>RAN2#127 meeting report</w:t>
      </w:r>
    </w:p>
    <w:p w14:paraId="37FA0A5C" w14:textId="08EED973" w:rsidR="00931A0B" w:rsidRPr="00550ADD" w:rsidRDefault="00931A0B" w:rsidP="009C4A50">
      <w:pPr>
        <w:pStyle w:val="ListParagraph"/>
        <w:numPr>
          <w:ilvl w:val="0"/>
          <w:numId w:val="7"/>
        </w:numPr>
        <w:spacing w:after="60"/>
        <w:rPr>
          <w:rFonts w:ascii="Arial" w:eastAsia="Arial" w:hAnsi="Arial" w:cs="Arial"/>
          <w:szCs w:val="20"/>
        </w:rPr>
      </w:pPr>
      <w:r w:rsidRPr="00550ADD">
        <w:rPr>
          <w:rFonts w:ascii="Arial" w:eastAsia="Arial" w:hAnsi="Arial" w:cs="Arial"/>
          <w:szCs w:val="20"/>
        </w:rPr>
        <w:t>RAN1#118 meeting report</w:t>
      </w:r>
    </w:p>
    <w:p w14:paraId="68BA6D44" w14:textId="4AB15215" w:rsidR="004552BC" w:rsidRPr="00550ADD" w:rsidRDefault="004552BC" w:rsidP="009C4A50">
      <w:pPr>
        <w:pStyle w:val="ListParagraph"/>
        <w:numPr>
          <w:ilvl w:val="0"/>
          <w:numId w:val="7"/>
        </w:numPr>
        <w:spacing w:after="60"/>
        <w:rPr>
          <w:rFonts w:ascii="Arial" w:eastAsia="Arial" w:hAnsi="Arial" w:cs="Arial"/>
          <w:szCs w:val="20"/>
        </w:rPr>
      </w:pPr>
      <w:r w:rsidRPr="00550ADD">
        <w:rPr>
          <w:rFonts w:ascii="Arial" w:eastAsia="Arial" w:hAnsi="Arial" w:cs="Arial"/>
          <w:szCs w:val="20"/>
        </w:rPr>
        <w:t>RAN2#127bis meeting report</w:t>
      </w:r>
    </w:p>
    <w:p w14:paraId="1AC832EB" w14:textId="65BD53C8" w:rsidR="00140174" w:rsidRPr="00550ADD" w:rsidRDefault="00140174" w:rsidP="009C4A50">
      <w:pPr>
        <w:pStyle w:val="ListParagraph"/>
        <w:numPr>
          <w:ilvl w:val="0"/>
          <w:numId w:val="7"/>
        </w:numPr>
        <w:spacing w:after="60"/>
        <w:rPr>
          <w:rFonts w:ascii="Arial" w:eastAsia="Arial" w:hAnsi="Arial" w:cs="Arial"/>
          <w:szCs w:val="20"/>
        </w:rPr>
      </w:pPr>
      <w:r w:rsidRPr="00550ADD">
        <w:rPr>
          <w:rFonts w:ascii="Arial" w:eastAsia="Arial" w:hAnsi="Arial" w:cs="Arial"/>
          <w:szCs w:val="20"/>
        </w:rPr>
        <w:t>RAN2#128 meeting report</w:t>
      </w:r>
    </w:p>
    <w:p w14:paraId="6A6AD501" w14:textId="3AEA3970" w:rsidR="00CF5988" w:rsidRPr="00550ADD" w:rsidRDefault="00CF5988" w:rsidP="009C4A50">
      <w:pPr>
        <w:pStyle w:val="ListParagraph"/>
        <w:numPr>
          <w:ilvl w:val="0"/>
          <w:numId w:val="7"/>
        </w:numPr>
        <w:spacing w:after="60"/>
        <w:rPr>
          <w:rFonts w:ascii="Arial" w:eastAsia="Arial" w:hAnsi="Arial" w:cs="Arial"/>
          <w:szCs w:val="20"/>
        </w:rPr>
      </w:pPr>
      <w:r w:rsidRPr="00550ADD">
        <w:rPr>
          <w:rFonts w:ascii="Arial" w:eastAsia="Arial" w:hAnsi="Arial" w:cs="Arial"/>
          <w:szCs w:val="20"/>
        </w:rPr>
        <w:t>RAN1#118bis meeting report</w:t>
      </w:r>
    </w:p>
    <w:sectPr w:rsidR="00CF5988" w:rsidRPr="00550ADD">
      <w:headerReference w:type="default" r:id="rId14"/>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E35927" w14:textId="77777777" w:rsidR="005D1F31" w:rsidRDefault="005D1F31">
      <w:r>
        <w:separator/>
      </w:r>
    </w:p>
  </w:endnote>
  <w:endnote w:type="continuationSeparator" w:id="0">
    <w:p w14:paraId="76E96D55" w14:textId="77777777" w:rsidR="005D1F31" w:rsidRDefault="005D1F31">
      <w:r>
        <w:continuationSeparator/>
      </w:r>
    </w:p>
  </w:endnote>
  <w:endnote w:type="continuationNotice" w:id="1">
    <w:p w14:paraId="495FCA96" w14:textId="77777777" w:rsidR="005D1F31" w:rsidRDefault="005D1F3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2463FF" w14:textId="77777777" w:rsidR="005D1F31" w:rsidRDefault="005D1F31">
      <w:r>
        <w:separator/>
      </w:r>
    </w:p>
  </w:footnote>
  <w:footnote w:type="continuationSeparator" w:id="0">
    <w:p w14:paraId="35D74EF4" w14:textId="77777777" w:rsidR="005D1F31" w:rsidRDefault="005D1F31">
      <w:r>
        <w:continuationSeparator/>
      </w:r>
    </w:p>
  </w:footnote>
  <w:footnote w:type="continuationNotice" w:id="1">
    <w:p w14:paraId="3A2F915F" w14:textId="77777777" w:rsidR="005D1F31" w:rsidRDefault="005D1F3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03101C" w14:textId="77777777" w:rsidR="003401FD" w:rsidRDefault="003401FD">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BA6362"/>
    <w:multiLevelType w:val="hybridMultilevel"/>
    <w:tmpl w:val="0BEE1C10"/>
    <w:lvl w:ilvl="0" w:tplc="FFFFFFFF">
      <w:start w:val="1"/>
      <w:numFmt w:val="decimal"/>
      <w:lvlText w:val="Option %1."/>
      <w:lvlJc w:val="right"/>
      <w:pPr>
        <w:ind w:left="1530" w:hanging="360"/>
      </w:pPr>
      <w:rPr>
        <w:rFonts w:hint="default"/>
      </w:rPr>
    </w:lvl>
    <w:lvl w:ilvl="1" w:tplc="FFFFFFFF" w:tentative="1">
      <w:start w:val="1"/>
      <w:numFmt w:val="lowerLetter"/>
      <w:lvlText w:val="%2."/>
      <w:lvlJc w:val="left"/>
      <w:pPr>
        <w:ind w:left="2250" w:hanging="360"/>
      </w:pPr>
    </w:lvl>
    <w:lvl w:ilvl="2" w:tplc="FFFFFFFF" w:tentative="1">
      <w:start w:val="1"/>
      <w:numFmt w:val="lowerRoman"/>
      <w:lvlText w:val="%3."/>
      <w:lvlJc w:val="right"/>
      <w:pPr>
        <w:ind w:left="2970" w:hanging="180"/>
      </w:pPr>
    </w:lvl>
    <w:lvl w:ilvl="3" w:tplc="FFFFFFFF" w:tentative="1">
      <w:start w:val="1"/>
      <w:numFmt w:val="decimal"/>
      <w:lvlText w:val="%4."/>
      <w:lvlJc w:val="left"/>
      <w:pPr>
        <w:ind w:left="3690" w:hanging="360"/>
      </w:pPr>
    </w:lvl>
    <w:lvl w:ilvl="4" w:tplc="FFFFFFFF" w:tentative="1">
      <w:start w:val="1"/>
      <w:numFmt w:val="lowerLetter"/>
      <w:lvlText w:val="%5."/>
      <w:lvlJc w:val="left"/>
      <w:pPr>
        <w:ind w:left="4410" w:hanging="360"/>
      </w:pPr>
    </w:lvl>
    <w:lvl w:ilvl="5" w:tplc="FFFFFFFF" w:tentative="1">
      <w:start w:val="1"/>
      <w:numFmt w:val="lowerRoman"/>
      <w:lvlText w:val="%6."/>
      <w:lvlJc w:val="right"/>
      <w:pPr>
        <w:ind w:left="5130" w:hanging="180"/>
      </w:pPr>
    </w:lvl>
    <w:lvl w:ilvl="6" w:tplc="FFFFFFFF" w:tentative="1">
      <w:start w:val="1"/>
      <w:numFmt w:val="decimal"/>
      <w:lvlText w:val="%7."/>
      <w:lvlJc w:val="left"/>
      <w:pPr>
        <w:ind w:left="5850" w:hanging="360"/>
      </w:pPr>
    </w:lvl>
    <w:lvl w:ilvl="7" w:tplc="FFFFFFFF" w:tentative="1">
      <w:start w:val="1"/>
      <w:numFmt w:val="lowerLetter"/>
      <w:lvlText w:val="%8."/>
      <w:lvlJc w:val="left"/>
      <w:pPr>
        <w:ind w:left="6570" w:hanging="360"/>
      </w:pPr>
    </w:lvl>
    <w:lvl w:ilvl="8" w:tplc="FFFFFFFF" w:tentative="1">
      <w:start w:val="1"/>
      <w:numFmt w:val="lowerRoman"/>
      <w:lvlText w:val="%9."/>
      <w:lvlJc w:val="right"/>
      <w:pPr>
        <w:ind w:left="7290" w:hanging="180"/>
      </w:pPr>
    </w:lvl>
  </w:abstractNum>
  <w:abstractNum w:abstractNumId="1" w15:restartNumberingAfterBreak="0">
    <w:nsid w:val="0A621490"/>
    <w:multiLevelType w:val="hybridMultilevel"/>
    <w:tmpl w:val="605404D8"/>
    <w:lvl w:ilvl="0" w:tplc="0B5AC5C0">
      <w:start w:val="1"/>
      <w:numFmt w:val="bullet"/>
      <w:lvlText w:val=""/>
      <w:lvlJc w:val="left"/>
      <w:pPr>
        <w:ind w:left="720" w:hanging="360"/>
      </w:pPr>
      <w:rPr>
        <w:rFonts w:ascii="Symbol" w:hAnsi="Symbol" w:hint="default"/>
      </w:rPr>
    </w:lvl>
    <w:lvl w:ilvl="1" w:tplc="E9A4E572">
      <w:start w:val="1"/>
      <w:numFmt w:val="bullet"/>
      <w:lvlText w:val="o"/>
      <w:lvlJc w:val="left"/>
      <w:pPr>
        <w:ind w:left="1440" w:hanging="360"/>
      </w:pPr>
      <w:rPr>
        <w:rFonts w:ascii="Courier New" w:hAnsi="Courier New" w:hint="default"/>
      </w:rPr>
    </w:lvl>
    <w:lvl w:ilvl="2" w:tplc="0764DCBE">
      <w:start w:val="1"/>
      <w:numFmt w:val="bullet"/>
      <w:lvlText w:val=""/>
      <w:lvlJc w:val="left"/>
      <w:pPr>
        <w:ind w:left="2160" w:hanging="360"/>
      </w:pPr>
      <w:rPr>
        <w:rFonts w:ascii="Wingdings" w:hAnsi="Wingdings" w:hint="default"/>
      </w:rPr>
    </w:lvl>
    <w:lvl w:ilvl="3" w:tplc="171852DA">
      <w:start w:val="1"/>
      <w:numFmt w:val="bullet"/>
      <w:lvlText w:val=""/>
      <w:lvlJc w:val="left"/>
      <w:pPr>
        <w:ind w:left="2880" w:hanging="360"/>
      </w:pPr>
      <w:rPr>
        <w:rFonts w:ascii="Symbol" w:hAnsi="Symbol" w:hint="default"/>
      </w:rPr>
    </w:lvl>
    <w:lvl w:ilvl="4" w:tplc="E2A8EB9A">
      <w:start w:val="1"/>
      <w:numFmt w:val="bullet"/>
      <w:lvlText w:val="o"/>
      <w:lvlJc w:val="left"/>
      <w:pPr>
        <w:ind w:left="3600" w:hanging="360"/>
      </w:pPr>
      <w:rPr>
        <w:rFonts w:ascii="Courier New" w:hAnsi="Courier New" w:hint="default"/>
      </w:rPr>
    </w:lvl>
    <w:lvl w:ilvl="5" w:tplc="109C8A08">
      <w:start w:val="1"/>
      <w:numFmt w:val="bullet"/>
      <w:lvlText w:val=""/>
      <w:lvlJc w:val="left"/>
      <w:pPr>
        <w:ind w:left="4320" w:hanging="360"/>
      </w:pPr>
      <w:rPr>
        <w:rFonts w:ascii="Wingdings" w:hAnsi="Wingdings" w:hint="default"/>
      </w:rPr>
    </w:lvl>
    <w:lvl w:ilvl="6" w:tplc="ECE4A2B8">
      <w:start w:val="1"/>
      <w:numFmt w:val="bullet"/>
      <w:lvlText w:val=""/>
      <w:lvlJc w:val="left"/>
      <w:pPr>
        <w:ind w:left="5040" w:hanging="360"/>
      </w:pPr>
      <w:rPr>
        <w:rFonts w:ascii="Symbol" w:hAnsi="Symbol" w:hint="default"/>
      </w:rPr>
    </w:lvl>
    <w:lvl w:ilvl="7" w:tplc="EE561564">
      <w:start w:val="1"/>
      <w:numFmt w:val="bullet"/>
      <w:lvlText w:val="o"/>
      <w:lvlJc w:val="left"/>
      <w:pPr>
        <w:ind w:left="5760" w:hanging="360"/>
      </w:pPr>
      <w:rPr>
        <w:rFonts w:ascii="Courier New" w:hAnsi="Courier New" w:hint="default"/>
      </w:rPr>
    </w:lvl>
    <w:lvl w:ilvl="8" w:tplc="0C66F468">
      <w:start w:val="1"/>
      <w:numFmt w:val="bullet"/>
      <w:lvlText w:val=""/>
      <w:lvlJc w:val="left"/>
      <w:pPr>
        <w:ind w:left="6480" w:hanging="360"/>
      </w:pPr>
      <w:rPr>
        <w:rFonts w:ascii="Wingdings" w:hAnsi="Wingdings" w:hint="default"/>
      </w:rPr>
    </w:lvl>
  </w:abstractNum>
  <w:abstractNum w:abstractNumId="2" w15:restartNumberingAfterBreak="0">
    <w:nsid w:val="17EE3DC4"/>
    <w:multiLevelType w:val="hybridMultilevel"/>
    <w:tmpl w:val="9E4685AA"/>
    <w:lvl w:ilvl="0" w:tplc="1C321ED4">
      <w:start w:val="2"/>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036E19"/>
    <w:multiLevelType w:val="hybridMultilevel"/>
    <w:tmpl w:val="2818A1B4"/>
    <w:lvl w:ilvl="0" w:tplc="1C321ED4">
      <w:start w:val="2"/>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0794DF2"/>
    <w:multiLevelType w:val="hybridMultilevel"/>
    <w:tmpl w:val="DC2E5AE4"/>
    <w:lvl w:ilvl="0" w:tplc="2DD008B8">
      <w:start w:val="2"/>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8BE09A6"/>
    <w:multiLevelType w:val="hybridMultilevel"/>
    <w:tmpl w:val="B914C722"/>
    <w:lvl w:ilvl="0" w:tplc="6B68E06A">
      <w:start w:val="1"/>
      <w:numFmt w:val="decimal"/>
      <w:lvlText w:val="Case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7"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483B3CA3"/>
    <w:multiLevelType w:val="hybridMultilevel"/>
    <w:tmpl w:val="DFF69246"/>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9" w15:restartNumberingAfterBreak="0">
    <w:nsid w:val="49A16BC7"/>
    <w:multiLevelType w:val="hybridMultilevel"/>
    <w:tmpl w:val="0BEE1C10"/>
    <w:lvl w:ilvl="0" w:tplc="FFFFFFFF">
      <w:start w:val="1"/>
      <w:numFmt w:val="decimal"/>
      <w:lvlText w:val="Option %1."/>
      <w:lvlJc w:val="right"/>
      <w:pPr>
        <w:ind w:left="1530" w:hanging="360"/>
      </w:pPr>
      <w:rPr>
        <w:rFonts w:hint="default"/>
      </w:rPr>
    </w:lvl>
    <w:lvl w:ilvl="1" w:tplc="FFFFFFFF" w:tentative="1">
      <w:start w:val="1"/>
      <w:numFmt w:val="lowerLetter"/>
      <w:lvlText w:val="%2."/>
      <w:lvlJc w:val="left"/>
      <w:pPr>
        <w:ind w:left="2250" w:hanging="360"/>
      </w:pPr>
    </w:lvl>
    <w:lvl w:ilvl="2" w:tplc="FFFFFFFF" w:tentative="1">
      <w:start w:val="1"/>
      <w:numFmt w:val="lowerRoman"/>
      <w:lvlText w:val="%3."/>
      <w:lvlJc w:val="right"/>
      <w:pPr>
        <w:ind w:left="2970" w:hanging="180"/>
      </w:pPr>
    </w:lvl>
    <w:lvl w:ilvl="3" w:tplc="FFFFFFFF" w:tentative="1">
      <w:start w:val="1"/>
      <w:numFmt w:val="decimal"/>
      <w:lvlText w:val="%4."/>
      <w:lvlJc w:val="left"/>
      <w:pPr>
        <w:ind w:left="3690" w:hanging="360"/>
      </w:pPr>
    </w:lvl>
    <w:lvl w:ilvl="4" w:tplc="FFFFFFFF" w:tentative="1">
      <w:start w:val="1"/>
      <w:numFmt w:val="lowerLetter"/>
      <w:lvlText w:val="%5."/>
      <w:lvlJc w:val="left"/>
      <w:pPr>
        <w:ind w:left="4410" w:hanging="360"/>
      </w:pPr>
    </w:lvl>
    <w:lvl w:ilvl="5" w:tplc="FFFFFFFF" w:tentative="1">
      <w:start w:val="1"/>
      <w:numFmt w:val="lowerRoman"/>
      <w:lvlText w:val="%6."/>
      <w:lvlJc w:val="right"/>
      <w:pPr>
        <w:ind w:left="5130" w:hanging="180"/>
      </w:pPr>
    </w:lvl>
    <w:lvl w:ilvl="6" w:tplc="FFFFFFFF" w:tentative="1">
      <w:start w:val="1"/>
      <w:numFmt w:val="decimal"/>
      <w:lvlText w:val="%7."/>
      <w:lvlJc w:val="left"/>
      <w:pPr>
        <w:ind w:left="5850" w:hanging="360"/>
      </w:pPr>
    </w:lvl>
    <w:lvl w:ilvl="7" w:tplc="FFFFFFFF" w:tentative="1">
      <w:start w:val="1"/>
      <w:numFmt w:val="lowerLetter"/>
      <w:lvlText w:val="%8."/>
      <w:lvlJc w:val="left"/>
      <w:pPr>
        <w:ind w:left="6570" w:hanging="360"/>
      </w:pPr>
    </w:lvl>
    <w:lvl w:ilvl="8" w:tplc="FFFFFFFF" w:tentative="1">
      <w:start w:val="1"/>
      <w:numFmt w:val="lowerRoman"/>
      <w:lvlText w:val="%9."/>
      <w:lvlJc w:val="right"/>
      <w:pPr>
        <w:ind w:left="7290" w:hanging="180"/>
      </w:pPr>
    </w:lvl>
  </w:abstractNum>
  <w:abstractNum w:abstractNumId="10" w15:restartNumberingAfterBreak="0">
    <w:nsid w:val="4B1E73FD"/>
    <w:multiLevelType w:val="hybridMultilevel"/>
    <w:tmpl w:val="0BEE1C10"/>
    <w:lvl w:ilvl="0" w:tplc="5F5A679C">
      <w:start w:val="1"/>
      <w:numFmt w:val="decimal"/>
      <w:lvlText w:val="Option %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6815BE2"/>
    <w:multiLevelType w:val="multilevel"/>
    <w:tmpl w:val="56815BE2"/>
    <w:lvl w:ilvl="0">
      <w:start w:val="1"/>
      <w:numFmt w:val="decimal"/>
      <w:pStyle w:val="CharCharCharCharCharChar"/>
      <w:lvlText w:val="[%1]"/>
      <w:lvlJc w:val="left"/>
      <w:pPr>
        <w:tabs>
          <w:tab w:val="num" w:pos="567"/>
        </w:tabs>
        <w:ind w:left="0"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59090204"/>
    <w:multiLevelType w:val="multilevel"/>
    <w:tmpl w:val="EC5668C8"/>
    <w:lvl w:ilvl="0">
      <w:start w:val="2"/>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5BFC153E"/>
    <w:multiLevelType w:val="multilevel"/>
    <w:tmpl w:val="5BFC153E"/>
    <w:lvl w:ilvl="0">
      <w:start w:val="1"/>
      <w:numFmt w:val="bullet"/>
      <w:lvlText w:val="•"/>
      <w:lvlJc w:val="left"/>
      <w:pPr>
        <w:tabs>
          <w:tab w:val="left" w:pos="360"/>
        </w:tabs>
        <w:ind w:left="36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color w:val="auto"/>
      </w:rPr>
    </w:lvl>
    <w:lvl w:ilvl="4">
      <w:start w:val="1"/>
      <w:numFmt w:val="bullet"/>
      <w:lvlText w:val="o"/>
      <w:lvlJc w:val="left"/>
      <w:pPr>
        <w:ind w:left="3600" w:hanging="360"/>
      </w:pPr>
      <w:rPr>
        <w:rFonts w:ascii="Courier New" w:hAnsi="Courier New" w:cs="Courier New" w:hint="default"/>
        <w:strike w:val="0"/>
        <w:color w:val="auto"/>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5DB363FD"/>
    <w:multiLevelType w:val="hybridMultilevel"/>
    <w:tmpl w:val="5250582A"/>
    <w:lvl w:ilvl="0" w:tplc="C83E65B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60612580"/>
    <w:multiLevelType w:val="multilevel"/>
    <w:tmpl w:val="BA0610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68C22F08"/>
    <w:multiLevelType w:val="hybridMultilevel"/>
    <w:tmpl w:val="8C2CD512"/>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D6C0433"/>
    <w:multiLevelType w:val="multilevel"/>
    <w:tmpl w:val="D38C6322"/>
    <w:lvl w:ilvl="0">
      <w:start w:val="1"/>
      <w:numFmt w:val="decimal"/>
      <w:lvlText w:val="%1."/>
      <w:lvlJc w:val="left"/>
      <w:pPr>
        <w:tabs>
          <w:tab w:val="num" w:pos="425"/>
        </w:tabs>
        <w:ind w:left="425" w:hanging="425"/>
      </w:pPr>
      <w:rPr>
        <w:b w:val="0"/>
        <w:bCs w:val="0"/>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1352"/>
        </w:tabs>
        <w:ind w:left="1352"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1E81DC4"/>
    <w:multiLevelType w:val="hybridMultilevel"/>
    <w:tmpl w:val="B914C722"/>
    <w:lvl w:ilvl="0" w:tplc="FFFFFFFF">
      <w:start w:val="1"/>
      <w:numFmt w:val="decimal"/>
      <w:lvlText w:val="Case %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736D6E2A"/>
    <w:multiLevelType w:val="multilevel"/>
    <w:tmpl w:val="736D6E2A"/>
    <w:lvl w:ilvl="0">
      <w:start w:val="1"/>
      <w:numFmt w:val="decimal"/>
      <w:pStyle w:val="List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15:restartNumberingAfterBreak="0">
    <w:nsid w:val="76957AE3"/>
    <w:multiLevelType w:val="hybridMultilevel"/>
    <w:tmpl w:val="F50C8426"/>
    <w:lvl w:ilvl="0" w:tplc="409C18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BED18BC"/>
    <w:multiLevelType w:val="multilevel"/>
    <w:tmpl w:val="7BED18BC"/>
    <w:lvl w:ilvl="0">
      <w:start w:val="1"/>
      <w:numFmt w:val="decimal"/>
      <w:pStyle w:val="Heading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16cid:durableId="1470050397">
    <w:abstractNumId w:val="23"/>
  </w:num>
  <w:num w:numId="2" w16cid:durableId="1969772336">
    <w:abstractNumId w:val="21"/>
  </w:num>
  <w:num w:numId="3" w16cid:durableId="842671508">
    <w:abstractNumId w:val="6"/>
  </w:num>
  <w:num w:numId="4" w16cid:durableId="552548784">
    <w:abstractNumId w:val="12"/>
  </w:num>
  <w:num w:numId="5" w16cid:durableId="1344934646">
    <w:abstractNumId w:val="7"/>
  </w:num>
  <w:num w:numId="6" w16cid:durableId="1256326568">
    <w:abstractNumId w:val="18"/>
  </w:num>
  <w:num w:numId="7" w16cid:durableId="431433011">
    <w:abstractNumId w:val="15"/>
  </w:num>
  <w:num w:numId="8" w16cid:durableId="2100440558">
    <w:abstractNumId w:val="19"/>
  </w:num>
  <w:num w:numId="9" w16cid:durableId="998191849">
    <w:abstractNumId w:val="11"/>
  </w:num>
  <w:num w:numId="10" w16cid:durableId="749667236">
    <w:abstractNumId w:val="16"/>
  </w:num>
  <w:num w:numId="11" w16cid:durableId="160968687">
    <w:abstractNumId w:val="14"/>
  </w:num>
  <w:num w:numId="12" w16cid:durableId="1853489551">
    <w:abstractNumId w:val="8"/>
  </w:num>
  <w:num w:numId="13" w16cid:durableId="2073847808">
    <w:abstractNumId w:val="3"/>
  </w:num>
  <w:num w:numId="14" w16cid:durableId="1252860767">
    <w:abstractNumId w:val="5"/>
  </w:num>
  <w:num w:numId="15" w16cid:durableId="197469399">
    <w:abstractNumId w:val="2"/>
  </w:num>
  <w:num w:numId="16" w16cid:durableId="508637175">
    <w:abstractNumId w:val="20"/>
  </w:num>
  <w:num w:numId="17" w16cid:durableId="220093567">
    <w:abstractNumId w:val="17"/>
  </w:num>
  <w:num w:numId="18" w16cid:durableId="738675485">
    <w:abstractNumId w:val="13"/>
  </w:num>
  <w:num w:numId="19" w16cid:durableId="88889403">
    <w:abstractNumId w:val="22"/>
  </w:num>
  <w:num w:numId="20" w16cid:durableId="1694762913">
    <w:abstractNumId w:val="1"/>
  </w:num>
  <w:num w:numId="21" w16cid:durableId="2067944457">
    <w:abstractNumId w:val="4"/>
  </w:num>
  <w:num w:numId="22" w16cid:durableId="1686520891">
    <w:abstractNumId w:val="10"/>
  </w:num>
  <w:num w:numId="23" w16cid:durableId="1936597467">
    <w:abstractNumId w:val="0"/>
  </w:num>
  <w:num w:numId="24" w16cid:durableId="269165869">
    <w:abstractNumId w:val="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czNTC3NDIwNjEysDBS0lEKTi0uzszPAykwNDCqBQCIuQJTLgAAAA=="/>
  </w:docVars>
  <w:rsids>
    <w:rsidRoot w:val="00B87FBC"/>
    <w:rsid w:val="000004F5"/>
    <w:rsid w:val="00000530"/>
    <w:rsid w:val="000005A2"/>
    <w:rsid w:val="000005F9"/>
    <w:rsid w:val="0000069E"/>
    <w:rsid w:val="00000994"/>
    <w:rsid w:val="00000E94"/>
    <w:rsid w:val="00000EF7"/>
    <w:rsid w:val="00000FBE"/>
    <w:rsid w:val="000011D6"/>
    <w:rsid w:val="000014EA"/>
    <w:rsid w:val="000018F0"/>
    <w:rsid w:val="00002134"/>
    <w:rsid w:val="000026E5"/>
    <w:rsid w:val="00002873"/>
    <w:rsid w:val="0000299F"/>
    <w:rsid w:val="00002AFC"/>
    <w:rsid w:val="0000314A"/>
    <w:rsid w:val="000031AE"/>
    <w:rsid w:val="0000333F"/>
    <w:rsid w:val="00003672"/>
    <w:rsid w:val="00003886"/>
    <w:rsid w:val="0000390D"/>
    <w:rsid w:val="000039A7"/>
    <w:rsid w:val="00003F90"/>
    <w:rsid w:val="00003FE8"/>
    <w:rsid w:val="0000410D"/>
    <w:rsid w:val="000042B8"/>
    <w:rsid w:val="0000443B"/>
    <w:rsid w:val="00004571"/>
    <w:rsid w:val="0000460A"/>
    <w:rsid w:val="00004737"/>
    <w:rsid w:val="000048B3"/>
    <w:rsid w:val="00004C07"/>
    <w:rsid w:val="00004D33"/>
    <w:rsid w:val="00004F59"/>
    <w:rsid w:val="00004FCC"/>
    <w:rsid w:val="00005012"/>
    <w:rsid w:val="000050BE"/>
    <w:rsid w:val="0000539E"/>
    <w:rsid w:val="000054C0"/>
    <w:rsid w:val="00005940"/>
    <w:rsid w:val="00005C84"/>
    <w:rsid w:val="00005D9F"/>
    <w:rsid w:val="00005E47"/>
    <w:rsid w:val="0000609A"/>
    <w:rsid w:val="000060C1"/>
    <w:rsid w:val="000060C8"/>
    <w:rsid w:val="0000617A"/>
    <w:rsid w:val="00006194"/>
    <w:rsid w:val="000063A7"/>
    <w:rsid w:val="000065F8"/>
    <w:rsid w:val="0000694F"/>
    <w:rsid w:val="000069B3"/>
    <w:rsid w:val="00006F05"/>
    <w:rsid w:val="00006FD1"/>
    <w:rsid w:val="000072EB"/>
    <w:rsid w:val="00007645"/>
    <w:rsid w:val="00007874"/>
    <w:rsid w:val="00007D4D"/>
    <w:rsid w:val="00007F65"/>
    <w:rsid w:val="000101B1"/>
    <w:rsid w:val="00010613"/>
    <w:rsid w:val="0001068D"/>
    <w:rsid w:val="00010791"/>
    <w:rsid w:val="0001080B"/>
    <w:rsid w:val="00010894"/>
    <w:rsid w:val="00010AD2"/>
    <w:rsid w:val="00010B42"/>
    <w:rsid w:val="00010DCC"/>
    <w:rsid w:val="00010E56"/>
    <w:rsid w:val="00011041"/>
    <w:rsid w:val="000114B4"/>
    <w:rsid w:val="000116A5"/>
    <w:rsid w:val="00011A12"/>
    <w:rsid w:val="00011C8C"/>
    <w:rsid w:val="00011EFF"/>
    <w:rsid w:val="00011F30"/>
    <w:rsid w:val="00011FFB"/>
    <w:rsid w:val="00012414"/>
    <w:rsid w:val="000124C4"/>
    <w:rsid w:val="000126DE"/>
    <w:rsid w:val="000126F3"/>
    <w:rsid w:val="000128F4"/>
    <w:rsid w:val="00013177"/>
    <w:rsid w:val="00013642"/>
    <w:rsid w:val="000137AA"/>
    <w:rsid w:val="00013D27"/>
    <w:rsid w:val="0001416B"/>
    <w:rsid w:val="00014189"/>
    <w:rsid w:val="0001432A"/>
    <w:rsid w:val="0001491E"/>
    <w:rsid w:val="00014961"/>
    <w:rsid w:val="000149A1"/>
    <w:rsid w:val="00014BCC"/>
    <w:rsid w:val="00014D04"/>
    <w:rsid w:val="00014F09"/>
    <w:rsid w:val="00015584"/>
    <w:rsid w:val="00015788"/>
    <w:rsid w:val="00015A87"/>
    <w:rsid w:val="00015CF3"/>
    <w:rsid w:val="00015F6F"/>
    <w:rsid w:val="0001603A"/>
    <w:rsid w:val="000160A4"/>
    <w:rsid w:val="00016164"/>
    <w:rsid w:val="00016AC6"/>
    <w:rsid w:val="000174AD"/>
    <w:rsid w:val="0001755E"/>
    <w:rsid w:val="000179CD"/>
    <w:rsid w:val="00017BA4"/>
    <w:rsid w:val="00017BD1"/>
    <w:rsid w:val="00017E64"/>
    <w:rsid w:val="00017F49"/>
    <w:rsid w:val="000208A6"/>
    <w:rsid w:val="00020919"/>
    <w:rsid w:val="00020A0A"/>
    <w:rsid w:val="00020A1C"/>
    <w:rsid w:val="00020C50"/>
    <w:rsid w:val="000216BF"/>
    <w:rsid w:val="0002195F"/>
    <w:rsid w:val="00021B1B"/>
    <w:rsid w:val="00021B68"/>
    <w:rsid w:val="00021C03"/>
    <w:rsid w:val="00021D15"/>
    <w:rsid w:val="000220C6"/>
    <w:rsid w:val="00022454"/>
    <w:rsid w:val="00022A7D"/>
    <w:rsid w:val="00022CC1"/>
    <w:rsid w:val="0002302A"/>
    <w:rsid w:val="000230A5"/>
    <w:rsid w:val="00023152"/>
    <w:rsid w:val="000234A1"/>
    <w:rsid w:val="00023FB7"/>
    <w:rsid w:val="000241CB"/>
    <w:rsid w:val="000247C2"/>
    <w:rsid w:val="00024BDF"/>
    <w:rsid w:val="00024D72"/>
    <w:rsid w:val="000250AB"/>
    <w:rsid w:val="0002552A"/>
    <w:rsid w:val="000255DA"/>
    <w:rsid w:val="000259D4"/>
    <w:rsid w:val="00025A64"/>
    <w:rsid w:val="00025A71"/>
    <w:rsid w:val="000260C1"/>
    <w:rsid w:val="00026364"/>
    <w:rsid w:val="00026636"/>
    <w:rsid w:val="00026CA8"/>
    <w:rsid w:val="00027262"/>
    <w:rsid w:val="00027366"/>
    <w:rsid w:val="0002752C"/>
    <w:rsid w:val="0002754F"/>
    <w:rsid w:val="0002764A"/>
    <w:rsid w:val="000277BF"/>
    <w:rsid w:val="00027B2F"/>
    <w:rsid w:val="00030815"/>
    <w:rsid w:val="00030BD6"/>
    <w:rsid w:val="00030DFC"/>
    <w:rsid w:val="00030F28"/>
    <w:rsid w:val="0003153F"/>
    <w:rsid w:val="0003185A"/>
    <w:rsid w:val="00031BB1"/>
    <w:rsid w:val="00032516"/>
    <w:rsid w:val="000325F7"/>
    <w:rsid w:val="000328CD"/>
    <w:rsid w:val="00032945"/>
    <w:rsid w:val="0003321C"/>
    <w:rsid w:val="0003350D"/>
    <w:rsid w:val="0003361F"/>
    <w:rsid w:val="000338A4"/>
    <w:rsid w:val="00033B3F"/>
    <w:rsid w:val="00033B55"/>
    <w:rsid w:val="00033C00"/>
    <w:rsid w:val="00033D65"/>
    <w:rsid w:val="00033DD8"/>
    <w:rsid w:val="00033E48"/>
    <w:rsid w:val="000340A1"/>
    <w:rsid w:val="000344FA"/>
    <w:rsid w:val="00034522"/>
    <w:rsid w:val="00034539"/>
    <w:rsid w:val="00034799"/>
    <w:rsid w:val="00034864"/>
    <w:rsid w:val="00034D7E"/>
    <w:rsid w:val="00034DA6"/>
    <w:rsid w:val="00035543"/>
    <w:rsid w:val="0003569B"/>
    <w:rsid w:val="00035768"/>
    <w:rsid w:val="00035C55"/>
    <w:rsid w:val="00035D7E"/>
    <w:rsid w:val="00035E82"/>
    <w:rsid w:val="000362AB"/>
    <w:rsid w:val="000363AE"/>
    <w:rsid w:val="000363FD"/>
    <w:rsid w:val="0003663D"/>
    <w:rsid w:val="00036A57"/>
    <w:rsid w:val="00036A5B"/>
    <w:rsid w:val="00036AA6"/>
    <w:rsid w:val="00036B8C"/>
    <w:rsid w:val="00036CBB"/>
    <w:rsid w:val="0003772C"/>
    <w:rsid w:val="000377D4"/>
    <w:rsid w:val="00037A41"/>
    <w:rsid w:val="00037B78"/>
    <w:rsid w:val="00037DBD"/>
    <w:rsid w:val="00037E65"/>
    <w:rsid w:val="00037ED5"/>
    <w:rsid w:val="000400BB"/>
    <w:rsid w:val="0004054E"/>
    <w:rsid w:val="000407DD"/>
    <w:rsid w:val="000409A3"/>
    <w:rsid w:val="00040BC8"/>
    <w:rsid w:val="00040D92"/>
    <w:rsid w:val="00041024"/>
    <w:rsid w:val="0004107E"/>
    <w:rsid w:val="000412E1"/>
    <w:rsid w:val="00041513"/>
    <w:rsid w:val="0004185B"/>
    <w:rsid w:val="00041BE4"/>
    <w:rsid w:val="00041E6C"/>
    <w:rsid w:val="000421F2"/>
    <w:rsid w:val="00042416"/>
    <w:rsid w:val="0004255C"/>
    <w:rsid w:val="0004263F"/>
    <w:rsid w:val="00042679"/>
    <w:rsid w:val="00042725"/>
    <w:rsid w:val="00042955"/>
    <w:rsid w:val="00042CD7"/>
    <w:rsid w:val="00043069"/>
    <w:rsid w:val="000430C3"/>
    <w:rsid w:val="000430D6"/>
    <w:rsid w:val="000434E0"/>
    <w:rsid w:val="00043726"/>
    <w:rsid w:val="000437B0"/>
    <w:rsid w:val="000439E7"/>
    <w:rsid w:val="00043ECC"/>
    <w:rsid w:val="00043ECF"/>
    <w:rsid w:val="00043F7C"/>
    <w:rsid w:val="0004420B"/>
    <w:rsid w:val="00044275"/>
    <w:rsid w:val="00044623"/>
    <w:rsid w:val="00044713"/>
    <w:rsid w:val="000449FE"/>
    <w:rsid w:val="00044DEE"/>
    <w:rsid w:val="00044FD9"/>
    <w:rsid w:val="00045071"/>
    <w:rsid w:val="00045743"/>
    <w:rsid w:val="00045845"/>
    <w:rsid w:val="000458FF"/>
    <w:rsid w:val="00045A9B"/>
    <w:rsid w:val="00045EB9"/>
    <w:rsid w:val="00045F2D"/>
    <w:rsid w:val="00045F5C"/>
    <w:rsid w:val="000464DD"/>
    <w:rsid w:val="00046E97"/>
    <w:rsid w:val="00047398"/>
    <w:rsid w:val="000473DA"/>
    <w:rsid w:val="00047423"/>
    <w:rsid w:val="000478EF"/>
    <w:rsid w:val="00047BED"/>
    <w:rsid w:val="00047CB6"/>
    <w:rsid w:val="00047D75"/>
    <w:rsid w:val="00047DA5"/>
    <w:rsid w:val="00047F5B"/>
    <w:rsid w:val="0005008D"/>
    <w:rsid w:val="000503DF"/>
    <w:rsid w:val="000505F5"/>
    <w:rsid w:val="00050663"/>
    <w:rsid w:val="00050715"/>
    <w:rsid w:val="0005082C"/>
    <w:rsid w:val="00050A54"/>
    <w:rsid w:val="00050F6A"/>
    <w:rsid w:val="000517C0"/>
    <w:rsid w:val="00051AFC"/>
    <w:rsid w:val="00051BB9"/>
    <w:rsid w:val="00051C37"/>
    <w:rsid w:val="00051CA0"/>
    <w:rsid w:val="000520C7"/>
    <w:rsid w:val="0005214F"/>
    <w:rsid w:val="00052350"/>
    <w:rsid w:val="00052966"/>
    <w:rsid w:val="00052A79"/>
    <w:rsid w:val="00052C49"/>
    <w:rsid w:val="00052DD1"/>
    <w:rsid w:val="00053004"/>
    <w:rsid w:val="000534ED"/>
    <w:rsid w:val="000537F7"/>
    <w:rsid w:val="00053B0D"/>
    <w:rsid w:val="00053D7E"/>
    <w:rsid w:val="00053F37"/>
    <w:rsid w:val="00053FA9"/>
    <w:rsid w:val="000540C0"/>
    <w:rsid w:val="000543FD"/>
    <w:rsid w:val="00054506"/>
    <w:rsid w:val="00054589"/>
    <w:rsid w:val="000545AD"/>
    <w:rsid w:val="00054698"/>
    <w:rsid w:val="0005477E"/>
    <w:rsid w:val="0005545B"/>
    <w:rsid w:val="000554C6"/>
    <w:rsid w:val="0005591E"/>
    <w:rsid w:val="0005599D"/>
    <w:rsid w:val="000559D2"/>
    <w:rsid w:val="00055A42"/>
    <w:rsid w:val="00055A76"/>
    <w:rsid w:val="00055D39"/>
    <w:rsid w:val="00055E49"/>
    <w:rsid w:val="00056098"/>
    <w:rsid w:val="00056345"/>
    <w:rsid w:val="00056A4B"/>
    <w:rsid w:val="00056F1C"/>
    <w:rsid w:val="00056F8D"/>
    <w:rsid w:val="000574B3"/>
    <w:rsid w:val="000576F4"/>
    <w:rsid w:val="000577D6"/>
    <w:rsid w:val="00057847"/>
    <w:rsid w:val="0005791E"/>
    <w:rsid w:val="00057BEB"/>
    <w:rsid w:val="00057BFD"/>
    <w:rsid w:val="000600CC"/>
    <w:rsid w:val="000601F5"/>
    <w:rsid w:val="00060363"/>
    <w:rsid w:val="00060732"/>
    <w:rsid w:val="00060759"/>
    <w:rsid w:val="00060BD2"/>
    <w:rsid w:val="00060C20"/>
    <w:rsid w:val="00060CE4"/>
    <w:rsid w:val="00060FA2"/>
    <w:rsid w:val="0006119F"/>
    <w:rsid w:val="000613E6"/>
    <w:rsid w:val="0006159E"/>
    <w:rsid w:val="00061A46"/>
    <w:rsid w:val="00062226"/>
    <w:rsid w:val="000627DA"/>
    <w:rsid w:val="00062DA5"/>
    <w:rsid w:val="00063081"/>
    <w:rsid w:val="000634F7"/>
    <w:rsid w:val="000639E3"/>
    <w:rsid w:val="00063B2B"/>
    <w:rsid w:val="00063CE7"/>
    <w:rsid w:val="00063E2C"/>
    <w:rsid w:val="0006415F"/>
    <w:rsid w:val="000641A0"/>
    <w:rsid w:val="00064261"/>
    <w:rsid w:val="000642BB"/>
    <w:rsid w:val="000643C3"/>
    <w:rsid w:val="000643CC"/>
    <w:rsid w:val="000646AB"/>
    <w:rsid w:val="000647E2"/>
    <w:rsid w:val="0006512F"/>
    <w:rsid w:val="00065365"/>
    <w:rsid w:val="000653FE"/>
    <w:rsid w:val="00065407"/>
    <w:rsid w:val="000658F2"/>
    <w:rsid w:val="0006633A"/>
    <w:rsid w:val="0006642E"/>
    <w:rsid w:val="00066829"/>
    <w:rsid w:val="00066D0B"/>
    <w:rsid w:val="00066EFF"/>
    <w:rsid w:val="00066F17"/>
    <w:rsid w:val="00066F53"/>
    <w:rsid w:val="00066FC8"/>
    <w:rsid w:val="00067223"/>
    <w:rsid w:val="00067228"/>
    <w:rsid w:val="00067739"/>
    <w:rsid w:val="00067C74"/>
    <w:rsid w:val="00067D9C"/>
    <w:rsid w:val="00067E6A"/>
    <w:rsid w:val="00070324"/>
    <w:rsid w:val="00070684"/>
    <w:rsid w:val="000709F8"/>
    <w:rsid w:val="00070E7B"/>
    <w:rsid w:val="00070FAC"/>
    <w:rsid w:val="000710A9"/>
    <w:rsid w:val="0007147A"/>
    <w:rsid w:val="00071A17"/>
    <w:rsid w:val="00071D9D"/>
    <w:rsid w:val="00071DFD"/>
    <w:rsid w:val="00071E64"/>
    <w:rsid w:val="0007205F"/>
    <w:rsid w:val="000722A7"/>
    <w:rsid w:val="000724A0"/>
    <w:rsid w:val="000725F5"/>
    <w:rsid w:val="00072925"/>
    <w:rsid w:val="00072A03"/>
    <w:rsid w:val="00072F23"/>
    <w:rsid w:val="00072F9F"/>
    <w:rsid w:val="00073121"/>
    <w:rsid w:val="000731F9"/>
    <w:rsid w:val="0007339F"/>
    <w:rsid w:val="0007378E"/>
    <w:rsid w:val="000738A7"/>
    <w:rsid w:val="00074089"/>
    <w:rsid w:val="00074227"/>
    <w:rsid w:val="00074235"/>
    <w:rsid w:val="000749EF"/>
    <w:rsid w:val="00074E57"/>
    <w:rsid w:val="00074E71"/>
    <w:rsid w:val="00075A6F"/>
    <w:rsid w:val="00075C6A"/>
    <w:rsid w:val="00075FDA"/>
    <w:rsid w:val="00076367"/>
    <w:rsid w:val="0007680E"/>
    <w:rsid w:val="00076A2B"/>
    <w:rsid w:val="00076C31"/>
    <w:rsid w:val="00076E3A"/>
    <w:rsid w:val="00076F8A"/>
    <w:rsid w:val="00077704"/>
    <w:rsid w:val="0007778A"/>
    <w:rsid w:val="00077878"/>
    <w:rsid w:val="00077BE5"/>
    <w:rsid w:val="00077C76"/>
    <w:rsid w:val="00077D5A"/>
    <w:rsid w:val="00077DB2"/>
    <w:rsid w:val="00080027"/>
    <w:rsid w:val="00080459"/>
    <w:rsid w:val="000804E1"/>
    <w:rsid w:val="00080556"/>
    <w:rsid w:val="00080B30"/>
    <w:rsid w:val="00080E18"/>
    <w:rsid w:val="000810A7"/>
    <w:rsid w:val="000813E4"/>
    <w:rsid w:val="000813F7"/>
    <w:rsid w:val="00081472"/>
    <w:rsid w:val="00081532"/>
    <w:rsid w:val="000816D8"/>
    <w:rsid w:val="000817D8"/>
    <w:rsid w:val="0008183E"/>
    <w:rsid w:val="00081B5B"/>
    <w:rsid w:val="00081CD2"/>
    <w:rsid w:val="00081D48"/>
    <w:rsid w:val="0008210E"/>
    <w:rsid w:val="00082927"/>
    <w:rsid w:val="00082955"/>
    <w:rsid w:val="00082AB1"/>
    <w:rsid w:val="00082B21"/>
    <w:rsid w:val="00082CD4"/>
    <w:rsid w:val="00082CDB"/>
    <w:rsid w:val="00082DDF"/>
    <w:rsid w:val="00082EA1"/>
    <w:rsid w:val="00082FF0"/>
    <w:rsid w:val="0008308B"/>
    <w:rsid w:val="000831D2"/>
    <w:rsid w:val="000835B5"/>
    <w:rsid w:val="000836AC"/>
    <w:rsid w:val="000838E0"/>
    <w:rsid w:val="00083985"/>
    <w:rsid w:val="00083AAE"/>
    <w:rsid w:val="00083C3C"/>
    <w:rsid w:val="00083C89"/>
    <w:rsid w:val="00083F6E"/>
    <w:rsid w:val="000841C4"/>
    <w:rsid w:val="00084552"/>
    <w:rsid w:val="000845DD"/>
    <w:rsid w:val="00084739"/>
    <w:rsid w:val="000849C5"/>
    <w:rsid w:val="00084BB4"/>
    <w:rsid w:val="00084C5E"/>
    <w:rsid w:val="00084E6B"/>
    <w:rsid w:val="00084FDF"/>
    <w:rsid w:val="00085374"/>
    <w:rsid w:val="00085441"/>
    <w:rsid w:val="00085970"/>
    <w:rsid w:val="00085FF2"/>
    <w:rsid w:val="00086187"/>
    <w:rsid w:val="0008625E"/>
    <w:rsid w:val="000862C8"/>
    <w:rsid w:val="00086BD1"/>
    <w:rsid w:val="00087134"/>
    <w:rsid w:val="00087154"/>
    <w:rsid w:val="00087161"/>
    <w:rsid w:val="00087182"/>
    <w:rsid w:val="0008731E"/>
    <w:rsid w:val="000876FC"/>
    <w:rsid w:val="00087746"/>
    <w:rsid w:val="00087CF0"/>
    <w:rsid w:val="00087ECF"/>
    <w:rsid w:val="00090513"/>
    <w:rsid w:val="0009096A"/>
    <w:rsid w:val="0009098E"/>
    <w:rsid w:val="000909CB"/>
    <w:rsid w:val="00090F7A"/>
    <w:rsid w:val="00090FD2"/>
    <w:rsid w:val="00091021"/>
    <w:rsid w:val="000910F0"/>
    <w:rsid w:val="00091C53"/>
    <w:rsid w:val="00091C8C"/>
    <w:rsid w:val="00091E3C"/>
    <w:rsid w:val="00091EFF"/>
    <w:rsid w:val="000921EC"/>
    <w:rsid w:val="0009234A"/>
    <w:rsid w:val="00092852"/>
    <w:rsid w:val="0009302D"/>
    <w:rsid w:val="000931F0"/>
    <w:rsid w:val="0009327A"/>
    <w:rsid w:val="00093374"/>
    <w:rsid w:val="00093557"/>
    <w:rsid w:val="0009396A"/>
    <w:rsid w:val="00093BDF"/>
    <w:rsid w:val="0009436F"/>
    <w:rsid w:val="000943F7"/>
    <w:rsid w:val="00094600"/>
    <w:rsid w:val="00094B3C"/>
    <w:rsid w:val="00094CDC"/>
    <w:rsid w:val="00095090"/>
    <w:rsid w:val="000951E0"/>
    <w:rsid w:val="00095889"/>
    <w:rsid w:val="000959A7"/>
    <w:rsid w:val="00095BC8"/>
    <w:rsid w:val="00095F77"/>
    <w:rsid w:val="00095F7B"/>
    <w:rsid w:val="0009630A"/>
    <w:rsid w:val="00096440"/>
    <w:rsid w:val="00096648"/>
    <w:rsid w:val="00096DB6"/>
    <w:rsid w:val="00096E01"/>
    <w:rsid w:val="00096F93"/>
    <w:rsid w:val="000972A2"/>
    <w:rsid w:val="000972E4"/>
    <w:rsid w:val="000975BE"/>
    <w:rsid w:val="000975DB"/>
    <w:rsid w:val="00097684"/>
    <w:rsid w:val="0009773B"/>
    <w:rsid w:val="00097748"/>
    <w:rsid w:val="0009777D"/>
    <w:rsid w:val="00097909"/>
    <w:rsid w:val="00097B0D"/>
    <w:rsid w:val="00097E27"/>
    <w:rsid w:val="00097EBE"/>
    <w:rsid w:val="000A01B9"/>
    <w:rsid w:val="000A02B3"/>
    <w:rsid w:val="000A07A7"/>
    <w:rsid w:val="000A09D3"/>
    <w:rsid w:val="000A127D"/>
    <w:rsid w:val="000A1431"/>
    <w:rsid w:val="000A19ED"/>
    <w:rsid w:val="000A1A4E"/>
    <w:rsid w:val="000A1BC9"/>
    <w:rsid w:val="000A24BF"/>
    <w:rsid w:val="000A2A46"/>
    <w:rsid w:val="000A2B56"/>
    <w:rsid w:val="000A2BD2"/>
    <w:rsid w:val="000A2D2E"/>
    <w:rsid w:val="000A2DF4"/>
    <w:rsid w:val="000A3049"/>
    <w:rsid w:val="000A3167"/>
    <w:rsid w:val="000A34E8"/>
    <w:rsid w:val="000A3E7B"/>
    <w:rsid w:val="000A3FE9"/>
    <w:rsid w:val="000A420B"/>
    <w:rsid w:val="000A44A2"/>
    <w:rsid w:val="000A48B0"/>
    <w:rsid w:val="000A4937"/>
    <w:rsid w:val="000A49D9"/>
    <w:rsid w:val="000A4AE5"/>
    <w:rsid w:val="000A4D08"/>
    <w:rsid w:val="000A4DE5"/>
    <w:rsid w:val="000A4FAD"/>
    <w:rsid w:val="000A509D"/>
    <w:rsid w:val="000A535E"/>
    <w:rsid w:val="000A53D8"/>
    <w:rsid w:val="000A551C"/>
    <w:rsid w:val="000A5784"/>
    <w:rsid w:val="000A5C78"/>
    <w:rsid w:val="000A5E0C"/>
    <w:rsid w:val="000A5E72"/>
    <w:rsid w:val="000A5F9D"/>
    <w:rsid w:val="000A618A"/>
    <w:rsid w:val="000A62A4"/>
    <w:rsid w:val="000A6546"/>
    <w:rsid w:val="000A6BF8"/>
    <w:rsid w:val="000A719C"/>
    <w:rsid w:val="000A78F7"/>
    <w:rsid w:val="000A7B34"/>
    <w:rsid w:val="000A7C1B"/>
    <w:rsid w:val="000B03B0"/>
    <w:rsid w:val="000B05FB"/>
    <w:rsid w:val="000B0761"/>
    <w:rsid w:val="000B08D2"/>
    <w:rsid w:val="000B0969"/>
    <w:rsid w:val="000B0CAE"/>
    <w:rsid w:val="000B15E4"/>
    <w:rsid w:val="000B17B6"/>
    <w:rsid w:val="000B17FB"/>
    <w:rsid w:val="000B1C22"/>
    <w:rsid w:val="000B1C35"/>
    <w:rsid w:val="000B2546"/>
    <w:rsid w:val="000B2F47"/>
    <w:rsid w:val="000B313F"/>
    <w:rsid w:val="000B3216"/>
    <w:rsid w:val="000B3390"/>
    <w:rsid w:val="000B33C5"/>
    <w:rsid w:val="000B33C6"/>
    <w:rsid w:val="000B34C3"/>
    <w:rsid w:val="000B36EE"/>
    <w:rsid w:val="000B38F9"/>
    <w:rsid w:val="000B3E49"/>
    <w:rsid w:val="000B3F5F"/>
    <w:rsid w:val="000B40D1"/>
    <w:rsid w:val="000B492A"/>
    <w:rsid w:val="000B4A87"/>
    <w:rsid w:val="000B4CCB"/>
    <w:rsid w:val="000B5414"/>
    <w:rsid w:val="000B555C"/>
    <w:rsid w:val="000B5795"/>
    <w:rsid w:val="000B5988"/>
    <w:rsid w:val="000B5C5C"/>
    <w:rsid w:val="000B5E98"/>
    <w:rsid w:val="000B5F99"/>
    <w:rsid w:val="000B65A5"/>
    <w:rsid w:val="000B6824"/>
    <w:rsid w:val="000B6BBD"/>
    <w:rsid w:val="000B70E1"/>
    <w:rsid w:val="000B732D"/>
    <w:rsid w:val="000B7619"/>
    <w:rsid w:val="000B7E5E"/>
    <w:rsid w:val="000C0172"/>
    <w:rsid w:val="000C04A7"/>
    <w:rsid w:val="000C0532"/>
    <w:rsid w:val="000C05B0"/>
    <w:rsid w:val="000C06A6"/>
    <w:rsid w:val="000C070C"/>
    <w:rsid w:val="000C0A59"/>
    <w:rsid w:val="000C0DE3"/>
    <w:rsid w:val="000C1001"/>
    <w:rsid w:val="000C17F9"/>
    <w:rsid w:val="000C1B5F"/>
    <w:rsid w:val="000C1E23"/>
    <w:rsid w:val="000C2208"/>
    <w:rsid w:val="000C27F3"/>
    <w:rsid w:val="000C2BCA"/>
    <w:rsid w:val="000C2FB7"/>
    <w:rsid w:val="000C31B8"/>
    <w:rsid w:val="000C38C3"/>
    <w:rsid w:val="000C3957"/>
    <w:rsid w:val="000C41E5"/>
    <w:rsid w:val="000C4462"/>
    <w:rsid w:val="000C491C"/>
    <w:rsid w:val="000C4D73"/>
    <w:rsid w:val="000C4FEA"/>
    <w:rsid w:val="000C515A"/>
    <w:rsid w:val="000C5424"/>
    <w:rsid w:val="000C5832"/>
    <w:rsid w:val="000C588B"/>
    <w:rsid w:val="000C65AB"/>
    <w:rsid w:val="000C66F3"/>
    <w:rsid w:val="000C70FF"/>
    <w:rsid w:val="000C7F20"/>
    <w:rsid w:val="000D028B"/>
    <w:rsid w:val="000D080D"/>
    <w:rsid w:val="000D09AE"/>
    <w:rsid w:val="000D0F18"/>
    <w:rsid w:val="000D12A9"/>
    <w:rsid w:val="000D13EC"/>
    <w:rsid w:val="000D1454"/>
    <w:rsid w:val="000D1505"/>
    <w:rsid w:val="000D1689"/>
    <w:rsid w:val="000D1A2C"/>
    <w:rsid w:val="000D1A2E"/>
    <w:rsid w:val="000D1D7C"/>
    <w:rsid w:val="000D1E97"/>
    <w:rsid w:val="000D2071"/>
    <w:rsid w:val="000D2554"/>
    <w:rsid w:val="000D284E"/>
    <w:rsid w:val="000D2A62"/>
    <w:rsid w:val="000D3057"/>
    <w:rsid w:val="000D30E4"/>
    <w:rsid w:val="000D3112"/>
    <w:rsid w:val="000D35A2"/>
    <w:rsid w:val="000D360C"/>
    <w:rsid w:val="000D39CB"/>
    <w:rsid w:val="000D3A53"/>
    <w:rsid w:val="000D3C4D"/>
    <w:rsid w:val="000D3D7F"/>
    <w:rsid w:val="000D3EF4"/>
    <w:rsid w:val="000D4413"/>
    <w:rsid w:val="000D4611"/>
    <w:rsid w:val="000D47A9"/>
    <w:rsid w:val="000D5391"/>
    <w:rsid w:val="000D5EB0"/>
    <w:rsid w:val="000D5F60"/>
    <w:rsid w:val="000D60D3"/>
    <w:rsid w:val="000D6163"/>
    <w:rsid w:val="000D6312"/>
    <w:rsid w:val="000D63AA"/>
    <w:rsid w:val="000D6799"/>
    <w:rsid w:val="000D6856"/>
    <w:rsid w:val="000D68A5"/>
    <w:rsid w:val="000D7054"/>
    <w:rsid w:val="000D77F5"/>
    <w:rsid w:val="000D7BE9"/>
    <w:rsid w:val="000E009F"/>
    <w:rsid w:val="000E068D"/>
    <w:rsid w:val="000E0B50"/>
    <w:rsid w:val="000E0B6E"/>
    <w:rsid w:val="000E0CBD"/>
    <w:rsid w:val="000E0F87"/>
    <w:rsid w:val="000E10F9"/>
    <w:rsid w:val="000E15F8"/>
    <w:rsid w:val="000E1909"/>
    <w:rsid w:val="000E1980"/>
    <w:rsid w:val="000E1F95"/>
    <w:rsid w:val="000E225D"/>
    <w:rsid w:val="000E225E"/>
    <w:rsid w:val="000E22B8"/>
    <w:rsid w:val="000E2908"/>
    <w:rsid w:val="000E2C4A"/>
    <w:rsid w:val="000E2CD1"/>
    <w:rsid w:val="000E33F6"/>
    <w:rsid w:val="000E378F"/>
    <w:rsid w:val="000E3A55"/>
    <w:rsid w:val="000E3C6B"/>
    <w:rsid w:val="000E41A1"/>
    <w:rsid w:val="000E44AF"/>
    <w:rsid w:val="000E4629"/>
    <w:rsid w:val="000E4D47"/>
    <w:rsid w:val="000E4E21"/>
    <w:rsid w:val="000E51A8"/>
    <w:rsid w:val="000E55C9"/>
    <w:rsid w:val="000E5AF3"/>
    <w:rsid w:val="000E5CBF"/>
    <w:rsid w:val="000E67F7"/>
    <w:rsid w:val="000E70ED"/>
    <w:rsid w:val="000E7159"/>
    <w:rsid w:val="000E7315"/>
    <w:rsid w:val="000E7482"/>
    <w:rsid w:val="000E75E1"/>
    <w:rsid w:val="000E77CE"/>
    <w:rsid w:val="000E7852"/>
    <w:rsid w:val="000E78D2"/>
    <w:rsid w:val="000E7AF1"/>
    <w:rsid w:val="000E7E98"/>
    <w:rsid w:val="000E7F62"/>
    <w:rsid w:val="000F00ED"/>
    <w:rsid w:val="000F0308"/>
    <w:rsid w:val="000F087D"/>
    <w:rsid w:val="000F0F50"/>
    <w:rsid w:val="000F1063"/>
    <w:rsid w:val="000F11F0"/>
    <w:rsid w:val="000F128F"/>
    <w:rsid w:val="000F141B"/>
    <w:rsid w:val="000F146B"/>
    <w:rsid w:val="000F1477"/>
    <w:rsid w:val="000F1C49"/>
    <w:rsid w:val="000F1F75"/>
    <w:rsid w:val="000F2278"/>
    <w:rsid w:val="000F26CF"/>
    <w:rsid w:val="000F2783"/>
    <w:rsid w:val="000F306D"/>
    <w:rsid w:val="000F321A"/>
    <w:rsid w:val="000F332B"/>
    <w:rsid w:val="000F33F0"/>
    <w:rsid w:val="000F38D0"/>
    <w:rsid w:val="000F3981"/>
    <w:rsid w:val="000F3CD7"/>
    <w:rsid w:val="000F3E5F"/>
    <w:rsid w:val="000F3F5E"/>
    <w:rsid w:val="000F4100"/>
    <w:rsid w:val="000F41BE"/>
    <w:rsid w:val="000F4A70"/>
    <w:rsid w:val="000F4DCB"/>
    <w:rsid w:val="000F577A"/>
    <w:rsid w:val="000F57D5"/>
    <w:rsid w:val="000F57D6"/>
    <w:rsid w:val="000F58C3"/>
    <w:rsid w:val="000F5986"/>
    <w:rsid w:val="000F5C3D"/>
    <w:rsid w:val="000F6008"/>
    <w:rsid w:val="000F60B2"/>
    <w:rsid w:val="000F62FB"/>
    <w:rsid w:val="000F64C8"/>
    <w:rsid w:val="000F6A73"/>
    <w:rsid w:val="000F6BA4"/>
    <w:rsid w:val="000F6E03"/>
    <w:rsid w:val="000F6E9B"/>
    <w:rsid w:val="000F71D0"/>
    <w:rsid w:val="000F71D5"/>
    <w:rsid w:val="000F75EA"/>
    <w:rsid w:val="000F761D"/>
    <w:rsid w:val="000F7A2D"/>
    <w:rsid w:val="000F7C94"/>
    <w:rsid w:val="000F7D04"/>
    <w:rsid w:val="001002BD"/>
    <w:rsid w:val="00100312"/>
    <w:rsid w:val="001004D2"/>
    <w:rsid w:val="001005AB"/>
    <w:rsid w:val="0010082D"/>
    <w:rsid w:val="001009E1"/>
    <w:rsid w:val="001013C0"/>
    <w:rsid w:val="001013FA"/>
    <w:rsid w:val="001014D1"/>
    <w:rsid w:val="001017CA"/>
    <w:rsid w:val="00101B71"/>
    <w:rsid w:val="00101BDA"/>
    <w:rsid w:val="00101C22"/>
    <w:rsid w:val="00101DEC"/>
    <w:rsid w:val="00102497"/>
    <w:rsid w:val="0010249B"/>
    <w:rsid w:val="00102606"/>
    <w:rsid w:val="00102B86"/>
    <w:rsid w:val="00102BA1"/>
    <w:rsid w:val="00102F05"/>
    <w:rsid w:val="00102FEC"/>
    <w:rsid w:val="00103253"/>
    <w:rsid w:val="001032FB"/>
    <w:rsid w:val="00103804"/>
    <w:rsid w:val="00103937"/>
    <w:rsid w:val="001039FA"/>
    <w:rsid w:val="00104119"/>
    <w:rsid w:val="00104839"/>
    <w:rsid w:val="0010493D"/>
    <w:rsid w:val="00104BED"/>
    <w:rsid w:val="00104DA0"/>
    <w:rsid w:val="00105160"/>
    <w:rsid w:val="001052D8"/>
    <w:rsid w:val="001053C1"/>
    <w:rsid w:val="00105459"/>
    <w:rsid w:val="00105570"/>
    <w:rsid w:val="0010565C"/>
    <w:rsid w:val="001056CB"/>
    <w:rsid w:val="00105812"/>
    <w:rsid w:val="0010587B"/>
    <w:rsid w:val="001058F5"/>
    <w:rsid w:val="00105A97"/>
    <w:rsid w:val="00105B8C"/>
    <w:rsid w:val="00106319"/>
    <w:rsid w:val="001067A4"/>
    <w:rsid w:val="00106A8D"/>
    <w:rsid w:val="00106BC9"/>
    <w:rsid w:val="00106F64"/>
    <w:rsid w:val="0010706D"/>
    <w:rsid w:val="00107103"/>
    <w:rsid w:val="00107304"/>
    <w:rsid w:val="00107531"/>
    <w:rsid w:val="00107700"/>
    <w:rsid w:val="001109E6"/>
    <w:rsid w:val="00111215"/>
    <w:rsid w:val="001113AF"/>
    <w:rsid w:val="001114A3"/>
    <w:rsid w:val="00111719"/>
    <w:rsid w:val="00111AEB"/>
    <w:rsid w:val="001120FC"/>
    <w:rsid w:val="001128A8"/>
    <w:rsid w:val="00112A87"/>
    <w:rsid w:val="00112C57"/>
    <w:rsid w:val="00112D2A"/>
    <w:rsid w:val="00112F21"/>
    <w:rsid w:val="00112FA6"/>
    <w:rsid w:val="0011300A"/>
    <w:rsid w:val="0011322D"/>
    <w:rsid w:val="00113355"/>
    <w:rsid w:val="001135BA"/>
    <w:rsid w:val="00113705"/>
    <w:rsid w:val="001137BB"/>
    <w:rsid w:val="001138FE"/>
    <w:rsid w:val="00113B5B"/>
    <w:rsid w:val="00113E31"/>
    <w:rsid w:val="00113FE3"/>
    <w:rsid w:val="001141E9"/>
    <w:rsid w:val="00114662"/>
    <w:rsid w:val="001146F6"/>
    <w:rsid w:val="001149FB"/>
    <w:rsid w:val="00114BD9"/>
    <w:rsid w:val="00114C00"/>
    <w:rsid w:val="00114CBD"/>
    <w:rsid w:val="00114F04"/>
    <w:rsid w:val="001151F9"/>
    <w:rsid w:val="00115911"/>
    <w:rsid w:val="00115D9D"/>
    <w:rsid w:val="00115F3A"/>
    <w:rsid w:val="00115F5F"/>
    <w:rsid w:val="00116A76"/>
    <w:rsid w:val="00116BFC"/>
    <w:rsid w:val="00116C0C"/>
    <w:rsid w:val="00116C99"/>
    <w:rsid w:val="00116D40"/>
    <w:rsid w:val="00117296"/>
    <w:rsid w:val="001172DB"/>
    <w:rsid w:val="00117423"/>
    <w:rsid w:val="00117492"/>
    <w:rsid w:val="001174AC"/>
    <w:rsid w:val="0011755E"/>
    <w:rsid w:val="0011759E"/>
    <w:rsid w:val="001177DA"/>
    <w:rsid w:val="001178AA"/>
    <w:rsid w:val="00117D5A"/>
    <w:rsid w:val="0012032F"/>
    <w:rsid w:val="00120445"/>
    <w:rsid w:val="001209AD"/>
    <w:rsid w:val="00120A72"/>
    <w:rsid w:val="00120C98"/>
    <w:rsid w:val="00120E96"/>
    <w:rsid w:val="00120F15"/>
    <w:rsid w:val="00121292"/>
    <w:rsid w:val="00121423"/>
    <w:rsid w:val="00121548"/>
    <w:rsid w:val="001216B6"/>
    <w:rsid w:val="00121A7A"/>
    <w:rsid w:val="00122469"/>
    <w:rsid w:val="00122BE7"/>
    <w:rsid w:val="00122D76"/>
    <w:rsid w:val="00122E3F"/>
    <w:rsid w:val="00122EE3"/>
    <w:rsid w:val="00122FEF"/>
    <w:rsid w:val="001233A1"/>
    <w:rsid w:val="00123B33"/>
    <w:rsid w:val="00123CBB"/>
    <w:rsid w:val="00123E23"/>
    <w:rsid w:val="00123E88"/>
    <w:rsid w:val="0012412F"/>
    <w:rsid w:val="0012419F"/>
    <w:rsid w:val="00124385"/>
    <w:rsid w:val="00124BE6"/>
    <w:rsid w:val="00124E5D"/>
    <w:rsid w:val="00124F19"/>
    <w:rsid w:val="001252C6"/>
    <w:rsid w:val="00125577"/>
    <w:rsid w:val="00125670"/>
    <w:rsid w:val="00125C01"/>
    <w:rsid w:val="00125CA4"/>
    <w:rsid w:val="00125ED7"/>
    <w:rsid w:val="0012613B"/>
    <w:rsid w:val="0012617B"/>
    <w:rsid w:val="001263A1"/>
    <w:rsid w:val="0012666F"/>
    <w:rsid w:val="00126884"/>
    <w:rsid w:val="001268D2"/>
    <w:rsid w:val="00126A1D"/>
    <w:rsid w:val="00126B54"/>
    <w:rsid w:val="00126B74"/>
    <w:rsid w:val="00126CCD"/>
    <w:rsid w:val="00127206"/>
    <w:rsid w:val="00127496"/>
    <w:rsid w:val="001275EF"/>
    <w:rsid w:val="001279D0"/>
    <w:rsid w:val="00127EA2"/>
    <w:rsid w:val="001301BC"/>
    <w:rsid w:val="00130610"/>
    <w:rsid w:val="00130753"/>
    <w:rsid w:val="00130B3A"/>
    <w:rsid w:val="00130B79"/>
    <w:rsid w:val="00130B83"/>
    <w:rsid w:val="00130BE2"/>
    <w:rsid w:val="00130C2D"/>
    <w:rsid w:val="00130EAE"/>
    <w:rsid w:val="001310C4"/>
    <w:rsid w:val="00131775"/>
    <w:rsid w:val="001317B1"/>
    <w:rsid w:val="0013195E"/>
    <w:rsid w:val="00131EA7"/>
    <w:rsid w:val="001326B7"/>
    <w:rsid w:val="00132A11"/>
    <w:rsid w:val="00132BAC"/>
    <w:rsid w:val="00132CFC"/>
    <w:rsid w:val="001333C8"/>
    <w:rsid w:val="00133606"/>
    <w:rsid w:val="0013361D"/>
    <w:rsid w:val="00133EF9"/>
    <w:rsid w:val="00133FCD"/>
    <w:rsid w:val="0013412A"/>
    <w:rsid w:val="0013423B"/>
    <w:rsid w:val="00134974"/>
    <w:rsid w:val="00134B9D"/>
    <w:rsid w:val="00134DC0"/>
    <w:rsid w:val="00134E29"/>
    <w:rsid w:val="00134E7D"/>
    <w:rsid w:val="0013569E"/>
    <w:rsid w:val="001356DD"/>
    <w:rsid w:val="0013594B"/>
    <w:rsid w:val="00135972"/>
    <w:rsid w:val="00135A19"/>
    <w:rsid w:val="00135CC3"/>
    <w:rsid w:val="00136168"/>
    <w:rsid w:val="00136179"/>
    <w:rsid w:val="001361ED"/>
    <w:rsid w:val="0013659E"/>
    <w:rsid w:val="0013688A"/>
    <w:rsid w:val="00136EA1"/>
    <w:rsid w:val="00137384"/>
    <w:rsid w:val="001373A0"/>
    <w:rsid w:val="00137CD3"/>
    <w:rsid w:val="00140174"/>
    <w:rsid w:val="001402D2"/>
    <w:rsid w:val="00140596"/>
    <w:rsid w:val="001405C9"/>
    <w:rsid w:val="0014085D"/>
    <w:rsid w:val="001409E4"/>
    <w:rsid w:val="00140A2E"/>
    <w:rsid w:val="00140A67"/>
    <w:rsid w:val="00140D43"/>
    <w:rsid w:val="00140E68"/>
    <w:rsid w:val="00140EF5"/>
    <w:rsid w:val="00141093"/>
    <w:rsid w:val="001410A9"/>
    <w:rsid w:val="0014168C"/>
    <w:rsid w:val="00141757"/>
    <w:rsid w:val="00141AC2"/>
    <w:rsid w:val="00141B53"/>
    <w:rsid w:val="00141B8E"/>
    <w:rsid w:val="00141D92"/>
    <w:rsid w:val="001421D0"/>
    <w:rsid w:val="0014227B"/>
    <w:rsid w:val="00142418"/>
    <w:rsid w:val="001426D9"/>
    <w:rsid w:val="001427C7"/>
    <w:rsid w:val="00142ED4"/>
    <w:rsid w:val="0014342B"/>
    <w:rsid w:val="00143B6E"/>
    <w:rsid w:val="00143BD9"/>
    <w:rsid w:val="00143CFF"/>
    <w:rsid w:val="00143D5C"/>
    <w:rsid w:val="0014405C"/>
    <w:rsid w:val="001441D7"/>
    <w:rsid w:val="0014440C"/>
    <w:rsid w:val="0014467C"/>
    <w:rsid w:val="001449FC"/>
    <w:rsid w:val="00144D06"/>
    <w:rsid w:val="00144E3E"/>
    <w:rsid w:val="001456AE"/>
    <w:rsid w:val="00145993"/>
    <w:rsid w:val="00145AFF"/>
    <w:rsid w:val="00145B6F"/>
    <w:rsid w:val="00145D03"/>
    <w:rsid w:val="00145D21"/>
    <w:rsid w:val="00145E0E"/>
    <w:rsid w:val="00145EAC"/>
    <w:rsid w:val="00145F1D"/>
    <w:rsid w:val="00146069"/>
    <w:rsid w:val="00146445"/>
    <w:rsid w:val="001465B0"/>
    <w:rsid w:val="0014674E"/>
    <w:rsid w:val="00146DD6"/>
    <w:rsid w:val="00146E13"/>
    <w:rsid w:val="00146F4E"/>
    <w:rsid w:val="001471CD"/>
    <w:rsid w:val="00147248"/>
    <w:rsid w:val="00147296"/>
    <w:rsid w:val="00147D53"/>
    <w:rsid w:val="00147F44"/>
    <w:rsid w:val="00150061"/>
    <w:rsid w:val="001500C7"/>
    <w:rsid w:val="00150622"/>
    <w:rsid w:val="00150695"/>
    <w:rsid w:val="0015097A"/>
    <w:rsid w:val="00150B14"/>
    <w:rsid w:val="001511AD"/>
    <w:rsid w:val="001513BF"/>
    <w:rsid w:val="0015172E"/>
    <w:rsid w:val="00151BB2"/>
    <w:rsid w:val="0015246B"/>
    <w:rsid w:val="001524D4"/>
    <w:rsid w:val="001525F1"/>
    <w:rsid w:val="00152A66"/>
    <w:rsid w:val="00153000"/>
    <w:rsid w:val="0015312D"/>
    <w:rsid w:val="00153169"/>
    <w:rsid w:val="00153307"/>
    <w:rsid w:val="001534BB"/>
    <w:rsid w:val="00153669"/>
    <w:rsid w:val="00153683"/>
    <w:rsid w:val="001536E3"/>
    <w:rsid w:val="00153B22"/>
    <w:rsid w:val="00153F35"/>
    <w:rsid w:val="00154491"/>
    <w:rsid w:val="00154789"/>
    <w:rsid w:val="001547DA"/>
    <w:rsid w:val="00154958"/>
    <w:rsid w:val="00154F45"/>
    <w:rsid w:val="001553DD"/>
    <w:rsid w:val="001554AE"/>
    <w:rsid w:val="001556AA"/>
    <w:rsid w:val="001559B7"/>
    <w:rsid w:val="00155B12"/>
    <w:rsid w:val="00155CD9"/>
    <w:rsid w:val="00155EFB"/>
    <w:rsid w:val="00155F3A"/>
    <w:rsid w:val="0015656D"/>
    <w:rsid w:val="00156A02"/>
    <w:rsid w:val="00156B66"/>
    <w:rsid w:val="00156CCB"/>
    <w:rsid w:val="00156D38"/>
    <w:rsid w:val="00156E43"/>
    <w:rsid w:val="00156E4D"/>
    <w:rsid w:val="00156EF4"/>
    <w:rsid w:val="00157513"/>
    <w:rsid w:val="00157685"/>
    <w:rsid w:val="00157A72"/>
    <w:rsid w:val="00157BD9"/>
    <w:rsid w:val="00157E43"/>
    <w:rsid w:val="00160684"/>
    <w:rsid w:val="00160A83"/>
    <w:rsid w:val="00160C79"/>
    <w:rsid w:val="001610C2"/>
    <w:rsid w:val="00161189"/>
    <w:rsid w:val="00161311"/>
    <w:rsid w:val="001614DB"/>
    <w:rsid w:val="00161503"/>
    <w:rsid w:val="00161DC1"/>
    <w:rsid w:val="00161E3E"/>
    <w:rsid w:val="00161E41"/>
    <w:rsid w:val="00162403"/>
    <w:rsid w:val="001628A7"/>
    <w:rsid w:val="001631C7"/>
    <w:rsid w:val="0016331D"/>
    <w:rsid w:val="00163436"/>
    <w:rsid w:val="0016350A"/>
    <w:rsid w:val="00163714"/>
    <w:rsid w:val="00163C04"/>
    <w:rsid w:val="0016406F"/>
    <w:rsid w:val="001645CB"/>
    <w:rsid w:val="00164712"/>
    <w:rsid w:val="00164716"/>
    <w:rsid w:val="0016473C"/>
    <w:rsid w:val="00164D4A"/>
    <w:rsid w:val="00164DFC"/>
    <w:rsid w:val="00165029"/>
    <w:rsid w:val="0016548D"/>
    <w:rsid w:val="0016551B"/>
    <w:rsid w:val="0016566C"/>
    <w:rsid w:val="0016584C"/>
    <w:rsid w:val="00165F6C"/>
    <w:rsid w:val="0016629B"/>
    <w:rsid w:val="0016647D"/>
    <w:rsid w:val="001664FE"/>
    <w:rsid w:val="0016663D"/>
    <w:rsid w:val="00166719"/>
    <w:rsid w:val="00166941"/>
    <w:rsid w:val="00166ACF"/>
    <w:rsid w:val="00166AE0"/>
    <w:rsid w:val="00167384"/>
    <w:rsid w:val="00167535"/>
    <w:rsid w:val="001678FF"/>
    <w:rsid w:val="001679F6"/>
    <w:rsid w:val="00167A0C"/>
    <w:rsid w:val="00167B82"/>
    <w:rsid w:val="00167C0C"/>
    <w:rsid w:val="00167DCF"/>
    <w:rsid w:val="00167E3C"/>
    <w:rsid w:val="00167F4E"/>
    <w:rsid w:val="0017007D"/>
    <w:rsid w:val="0017013F"/>
    <w:rsid w:val="001702B2"/>
    <w:rsid w:val="001702C0"/>
    <w:rsid w:val="00170ED8"/>
    <w:rsid w:val="00171044"/>
    <w:rsid w:val="00171624"/>
    <w:rsid w:val="00171914"/>
    <w:rsid w:val="0017264B"/>
    <w:rsid w:val="001726CB"/>
    <w:rsid w:val="00172CE6"/>
    <w:rsid w:val="00172D82"/>
    <w:rsid w:val="00172D8C"/>
    <w:rsid w:val="00172FB6"/>
    <w:rsid w:val="00172FBD"/>
    <w:rsid w:val="0017309E"/>
    <w:rsid w:val="00173498"/>
    <w:rsid w:val="00173794"/>
    <w:rsid w:val="00173855"/>
    <w:rsid w:val="00173B69"/>
    <w:rsid w:val="00173B6B"/>
    <w:rsid w:val="00174110"/>
    <w:rsid w:val="0017427F"/>
    <w:rsid w:val="001743B2"/>
    <w:rsid w:val="00174534"/>
    <w:rsid w:val="00174BCC"/>
    <w:rsid w:val="001753C4"/>
    <w:rsid w:val="0017546D"/>
    <w:rsid w:val="00175564"/>
    <w:rsid w:val="001759F9"/>
    <w:rsid w:val="00175BA1"/>
    <w:rsid w:val="00175FE2"/>
    <w:rsid w:val="0017669A"/>
    <w:rsid w:val="00176845"/>
    <w:rsid w:val="001769F0"/>
    <w:rsid w:val="00176D09"/>
    <w:rsid w:val="00176D18"/>
    <w:rsid w:val="00177252"/>
    <w:rsid w:val="00177528"/>
    <w:rsid w:val="00177849"/>
    <w:rsid w:val="00177CD9"/>
    <w:rsid w:val="00177DC3"/>
    <w:rsid w:val="00177F2F"/>
    <w:rsid w:val="00177FBD"/>
    <w:rsid w:val="001801E1"/>
    <w:rsid w:val="001801F5"/>
    <w:rsid w:val="001804B1"/>
    <w:rsid w:val="00180518"/>
    <w:rsid w:val="001805AF"/>
    <w:rsid w:val="00180604"/>
    <w:rsid w:val="00180610"/>
    <w:rsid w:val="001806F7"/>
    <w:rsid w:val="00180838"/>
    <w:rsid w:val="00180CB0"/>
    <w:rsid w:val="00180D67"/>
    <w:rsid w:val="00181A77"/>
    <w:rsid w:val="00181F78"/>
    <w:rsid w:val="001822E7"/>
    <w:rsid w:val="0018294E"/>
    <w:rsid w:val="001829FA"/>
    <w:rsid w:val="0018302F"/>
    <w:rsid w:val="00183397"/>
    <w:rsid w:val="00183438"/>
    <w:rsid w:val="00183510"/>
    <w:rsid w:val="001836B6"/>
    <w:rsid w:val="0018370D"/>
    <w:rsid w:val="001837BD"/>
    <w:rsid w:val="00183C8D"/>
    <w:rsid w:val="0018407E"/>
    <w:rsid w:val="00184249"/>
    <w:rsid w:val="00184271"/>
    <w:rsid w:val="00184677"/>
    <w:rsid w:val="0018497D"/>
    <w:rsid w:val="00184A0D"/>
    <w:rsid w:val="00185110"/>
    <w:rsid w:val="0018555E"/>
    <w:rsid w:val="0018561D"/>
    <w:rsid w:val="001856E3"/>
    <w:rsid w:val="0018573F"/>
    <w:rsid w:val="00185A54"/>
    <w:rsid w:val="00185B5F"/>
    <w:rsid w:val="00186017"/>
    <w:rsid w:val="001863F9"/>
    <w:rsid w:val="00186DEA"/>
    <w:rsid w:val="00186E6D"/>
    <w:rsid w:val="00187182"/>
    <w:rsid w:val="00187DDE"/>
    <w:rsid w:val="00187F78"/>
    <w:rsid w:val="001902F2"/>
    <w:rsid w:val="001907C4"/>
    <w:rsid w:val="00190920"/>
    <w:rsid w:val="0019094B"/>
    <w:rsid w:val="00190A9A"/>
    <w:rsid w:val="001910A4"/>
    <w:rsid w:val="001919A9"/>
    <w:rsid w:val="00191F5B"/>
    <w:rsid w:val="0019214A"/>
    <w:rsid w:val="00192276"/>
    <w:rsid w:val="00192452"/>
    <w:rsid w:val="001924B6"/>
    <w:rsid w:val="001927F4"/>
    <w:rsid w:val="001928FA"/>
    <w:rsid w:val="001929DB"/>
    <w:rsid w:val="00192BD0"/>
    <w:rsid w:val="00192FDE"/>
    <w:rsid w:val="00193048"/>
    <w:rsid w:val="00193109"/>
    <w:rsid w:val="001932DB"/>
    <w:rsid w:val="00193568"/>
    <w:rsid w:val="001938A1"/>
    <w:rsid w:val="00193FB1"/>
    <w:rsid w:val="001940FB"/>
    <w:rsid w:val="0019423B"/>
    <w:rsid w:val="00194813"/>
    <w:rsid w:val="001948B8"/>
    <w:rsid w:val="00194C1C"/>
    <w:rsid w:val="00194D26"/>
    <w:rsid w:val="00194F91"/>
    <w:rsid w:val="0019500E"/>
    <w:rsid w:val="0019510E"/>
    <w:rsid w:val="001951F9"/>
    <w:rsid w:val="00195705"/>
    <w:rsid w:val="00195D95"/>
    <w:rsid w:val="001961CD"/>
    <w:rsid w:val="0019642B"/>
    <w:rsid w:val="00196811"/>
    <w:rsid w:val="00196852"/>
    <w:rsid w:val="00196A0E"/>
    <w:rsid w:val="00196D7A"/>
    <w:rsid w:val="00196DC5"/>
    <w:rsid w:val="00196DF2"/>
    <w:rsid w:val="001970DE"/>
    <w:rsid w:val="00197119"/>
    <w:rsid w:val="00197246"/>
    <w:rsid w:val="00197410"/>
    <w:rsid w:val="0019753F"/>
    <w:rsid w:val="00197B2C"/>
    <w:rsid w:val="00197F99"/>
    <w:rsid w:val="00198741"/>
    <w:rsid w:val="001A0275"/>
    <w:rsid w:val="001A04D0"/>
    <w:rsid w:val="001A0EC3"/>
    <w:rsid w:val="001A108B"/>
    <w:rsid w:val="001A113E"/>
    <w:rsid w:val="001A127F"/>
    <w:rsid w:val="001A1539"/>
    <w:rsid w:val="001A181F"/>
    <w:rsid w:val="001A1CCE"/>
    <w:rsid w:val="001A2279"/>
    <w:rsid w:val="001A2776"/>
    <w:rsid w:val="001A29E7"/>
    <w:rsid w:val="001A2C5C"/>
    <w:rsid w:val="001A2E27"/>
    <w:rsid w:val="001A3119"/>
    <w:rsid w:val="001A3353"/>
    <w:rsid w:val="001A362D"/>
    <w:rsid w:val="001A36BC"/>
    <w:rsid w:val="001A3BCE"/>
    <w:rsid w:val="001A3F69"/>
    <w:rsid w:val="001A416F"/>
    <w:rsid w:val="001A443F"/>
    <w:rsid w:val="001A48F7"/>
    <w:rsid w:val="001A4992"/>
    <w:rsid w:val="001A4AB8"/>
    <w:rsid w:val="001A4EF7"/>
    <w:rsid w:val="001A51EB"/>
    <w:rsid w:val="001A551B"/>
    <w:rsid w:val="001A55BB"/>
    <w:rsid w:val="001A5ADE"/>
    <w:rsid w:val="001A5C9D"/>
    <w:rsid w:val="001A5D9F"/>
    <w:rsid w:val="001A5F1C"/>
    <w:rsid w:val="001A5F47"/>
    <w:rsid w:val="001A602D"/>
    <w:rsid w:val="001A65D3"/>
    <w:rsid w:val="001A6696"/>
    <w:rsid w:val="001A6D6F"/>
    <w:rsid w:val="001A6FE0"/>
    <w:rsid w:val="001A727B"/>
    <w:rsid w:val="001A7BCB"/>
    <w:rsid w:val="001A7D4F"/>
    <w:rsid w:val="001A7FA4"/>
    <w:rsid w:val="001B03B7"/>
    <w:rsid w:val="001B0442"/>
    <w:rsid w:val="001B049B"/>
    <w:rsid w:val="001B0628"/>
    <w:rsid w:val="001B06B3"/>
    <w:rsid w:val="001B09AD"/>
    <w:rsid w:val="001B0BD1"/>
    <w:rsid w:val="001B1120"/>
    <w:rsid w:val="001B121C"/>
    <w:rsid w:val="001B122B"/>
    <w:rsid w:val="001B1344"/>
    <w:rsid w:val="001B1964"/>
    <w:rsid w:val="001B1D92"/>
    <w:rsid w:val="001B237C"/>
    <w:rsid w:val="001B2408"/>
    <w:rsid w:val="001B24A2"/>
    <w:rsid w:val="001B287A"/>
    <w:rsid w:val="001B2958"/>
    <w:rsid w:val="001B323F"/>
    <w:rsid w:val="001B32B0"/>
    <w:rsid w:val="001B3333"/>
    <w:rsid w:val="001B345F"/>
    <w:rsid w:val="001B3934"/>
    <w:rsid w:val="001B3B5D"/>
    <w:rsid w:val="001B3C54"/>
    <w:rsid w:val="001B3E69"/>
    <w:rsid w:val="001B3F49"/>
    <w:rsid w:val="001B4165"/>
    <w:rsid w:val="001B41B7"/>
    <w:rsid w:val="001B4652"/>
    <w:rsid w:val="001B484B"/>
    <w:rsid w:val="001B4AB4"/>
    <w:rsid w:val="001B5180"/>
    <w:rsid w:val="001B51AA"/>
    <w:rsid w:val="001B55FC"/>
    <w:rsid w:val="001B5F0C"/>
    <w:rsid w:val="001B5F43"/>
    <w:rsid w:val="001B5FE1"/>
    <w:rsid w:val="001B648B"/>
    <w:rsid w:val="001B657E"/>
    <w:rsid w:val="001B65D0"/>
    <w:rsid w:val="001B6669"/>
    <w:rsid w:val="001B69DA"/>
    <w:rsid w:val="001B7010"/>
    <w:rsid w:val="001B7323"/>
    <w:rsid w:val="001B7370"/>
    <w:rsid w:val="001B7378"/>
    <w:rsid w:val="001B7407"/>
    <w:rsid w:val="001B749D"/>
    <w:rsid w:val="001B7906"/>
    <w:rsid w:val="001B79BA"/>
    <w:rsid w:val="001B7ACC"/>
    <w:rsid w:val="001B7F77"/>
    <w:rsid w:val="001C01B7"/>
    <w:rsid w:val="001C0211"/>
    <w:rsid w:val="001C035C"/>
    <w:rsid w:val="001C0BC4"/>
    <w:rsid w:val="001C0F51"/>
    <w:rsid w:val="001C187B"/>
    <w:rsid w:val="001C19D8"/>
    <w:rsid w:val="001C1A97"/>
    <w:rsid w:val="001C1DF9"/>
    <w:rsid w:val="001C1E4E"/>
    <w:rsid w:val="001C1FF7"/>
    <w:rsid w:val="001C22F0"/>
    <w:rsid w:val="001C235F"/>
    <w:rsid w:val="001C2710"/>
    <w:rsid w:val="001C29CE"/>
    <w:rsid w:val="001C2D0D"/>
    <w:rsid w:val="001C2F2B"/>
    <w:rsid w:val="001C3415"/>
    <w:rsid w:val="001C3488"/>
    <w:rsid w:val="001C3AD8"/>
    <w:rsid w:val="001C3D68"/>
    <w:rsid w:val="001C3E04"/>
    <w:rsid w:val="001C3E06"/>
    <w:rsid w:val="001C3EE6"/>
    <w:rsid w:val="001C41EF"/>
    <w:rsid w:val="001C42C6"/>
    <w:rsid w:val="001C4387"/>
    <w:rsid w:val="001C4BA1"/>
    <w:rsid w:val="001C4CD5"/>
    <w:rsid w:val="001C4D23"/>
    <w:rsid w:val="001C4F0D"/>
    <w:rsid w:val="001C4FD5"/>
    <w:rsid w:val="001C50E0"/>
    <w:rsid w:val="001C50E3"/>
    <w:rsid w:val="001C5268"/>
    <w:rsid w:val="001C53EA"/>
    <w:rsid w:val="001C55C0"/>
    <w:rsid w:val="001C56A7"/>
    <w:rsid w:val="001C56C5"/>
    <w:rsid w:val="001C5924"/>
    <w:rsid w:val="001C5AE9"/>
    <w:rsid w:val="001C5B7B"/>
    <w:rsid w:val="001C5C44"/>
    <w:rsid w:val="001C5D2D"/>
    <w:rsid w:val="001C626F"/>
    <w:rsid w:val="001C6661"/>
    <w:rsid w:val="001C66A7"/>
    <w:rsid w:val="001C6702"/>
    <w:rsid w:val="001C6957"/>
    <w:rsid w:val="001C6CE1"/>
    <w:rsid w:val="001C7026"/>
    <w:rsid w:val="001C7185"/>
    <w:rsid w:val="001C7268"/>
    <w:rsid w:val="001C7393"/>
    <w:rsid w:val="001C78FA"/>
    <w:rsid w:val="001C78FC"/>
    <w:rsid w:val="001C7900"/>
    <w:rsid w:val="001D02C9"/>
    <w:rsid w:val="001D02EA"/>
    <w:rsid w:val="001D0896"/>
    <w:rsid w:val="001D096F"/>
    <w:rsid w:val="001D09B8"/>
    <w:rsid w:val="001D0DD1"/>
    <w:rsid w:val="001D13EC"/>
    <w:rsid w:val="001D144A"/>
    <w:rsid w:val="001D155F"/>
    <w:rsid w:val="001D252E"/>
    <w:rsid w:val="001D2A2B"/>
    <w:rsid w:val="001D2C10"/>
    <w:rsid w:val="001D2C1D"/>
    <w:rsid w:val="001D3507"/>
    <w:rsid w:val="001D363E"/>
    <w:rsid w:val="001D3CC4"/>
    <w:rsid w:val="001D3E86"/>
    <w:rsid w:val="001D4097"/>
    <w:rsid w:val="001D480A"/>
    <w:rsid w:val="001D4BC5"/>
    <w:rsid w:val="001D4C80"/>
    <w:rsid w:val="001D4E31"/>
    <w:rsid w:val="001D5250"/>
    <w:rsid w:val="001D5C94"/>
    <w:rsid w:val="001D5FC1"/>
    <w:rsid w:val="001D64F9"/>
    <w:rsid w:val="001D68BE"/>
    <w:rsid w:val="001D6A1D"/>
    <w:rsid w:val="001D6C50"/>
    <w:rsid w:val="001D6E2D"/>
    <w:rsid w:val="001D6F11"/>
    <w:rsid w:val="001D72F6"/>
    <w:rsid w:val="001D74FE"/>
    <w:rsid w:val="001D767E"/>
    <w:rsid w:val="001D77AD"/>
    <w:rsid w:val="001D79DE"/>
    <w:rsid w:val="001E0825"/>
    <w:rsid w:val="001E085D"/>
    <w:rsid w:val="001E0D51"/>
    <w:rsid w:val="001E0FE5"/>
    <w:rsid w:val="001E1051"/>
    <w:rsid w:val="001E13A5"/>
    <w:rsid w:val="001E16E9"/>
    <w:rsid w:val="001E1E5E"/>
    <w:rsid w:val="001E2763"/>
    <w:rsid w:val="001E27FE"/>
    <w:rsid w:val="001E2B65"/>
    <w:rsid w:val="001E2D46"/>
    <w:rsid w:val="001E2F8C"/>
    <w:rsid w:val="001E3010"/>
    <w:rsid w:val="001E31A0"/>
    <w:rsid w:val="001E3ADE"/>
    <w:rsid w:val="001E3B2D"/>
    <w:rsid w:val="001E3C84"/>
    <w:rsid w:val="001E3D5D"/>
    <w:rsid w:val="001E4190"/>
    <w:rsid w:val="001E43E1"/>
    <w:rsid w:val="001E44AD"/>
    <w:rsid w:val="001E44F5"/>
    <w:rsid w:val="001E4547"/>
    <w:rsid w:val="001E4943"/>
    <w:rsid w:val="001E4EB7"/>
    <w:rsid w:val="001E52EE"/>
    <w:rsid w:val="001E5304"/>
    <w:rsid w:val="001E59F8"/>
    <w:rsid w:val="001E5BE0"/>
    <w:rsid w:val="001E5D95"/>
    <w:rsid w:val="001E5DE6"/>
    <w:rsid w:val="001E5EF9"/>
    <w:rsid w:val="001E5F62"/>
    <w:rsid w:val="001E63EC"/>
    <w:rsid w:val="001E64DE"/>
    <w:rsid w:val="001E662B"/>
    <w:rsid w:val="001E66DC"/>
    <w:rsid w:val="001E6C1E"/>
    <w:rsid w:val="001E6E2B"/>
    <w:rsid w:val="001E6F0D"/>
    <w:rsid w:val="001E7342"/>
    <w:rsid w:val="001E7352"/>
    <w:rsid w:val="001E7780"/>
    <w:rsid w:val="001E7A9A"/>
    <w:rsid w:val="001E7C13"/>
    <w:rsid w:val="001E7E2B"/>
    <w:rsid w:val="001F00A4"/>
    <w:rsid w:val="001F01AD"/>
    <w:rsid w:val="001F01BF"/>
    <w:rsid w:val="001F02FA"/>
    <w:rsid w:val="001F0523"/>
    <w:rsid w:val="001F06AE"/>
    <w:rsid w:val="001F0AAC"/>
    <w:rsid w:val="001F0EF6"/>
    <w:rsid w:val="001F1025"/>
    <w:rsid w:val="001F16CB"/>
    <w:rsid w:val="001F1704"/>
    <w:rsid w:val="001F177E"/>
    <w:rsid w:val="001F1798"/>
    <w:rsid w:val="001F19B5"/>
    <w:rsid w:val="001F1CA5"/>
    <w:rsid w:val="001F1CAC"/>
    <w:rsid w:val="001F1D1C"/>
    <w:rsid w:val="001F1DA1"/>
    <w:rsid w:val="001F1F19"/>
    <w:rsid w:val="001F1F7A"/>
    <w:rsid w:val="001F23E4"/>
    <w:rsid w:val="001F2C6C"/>
    <w:rsid w:val="001F2EBF"/>
    <w:rsid w:val="001F339F"/>
    <w:rsid w:val="001F380D"/>
    <w:rsid w:val="001F3A06"/>
    <w:rsid w:val="001F3AB4"/>
    <w:rsid w:val="001F3C10"/>
    <w:rsid w:val="001F3CF2"/>
    <w:rsid w:val="001F3DED"/>
    <w:rsid w:val="001F3FCA"/>
    <w:rsid w:val="001F4064"/>
    <w:rsid w:val="001F44E3"/>
    <w:rsid w:val="001F47EF"/>
    <w:rsid w:val="001F4893"/>
    <w:rsid w:val="001F4C7D"/>
    <w:rsid w:val="001F4D40"/>
    <w:rsid w:val="001F4E7E"/>
    <w:rsid w:val="001F53D6"/>
    <w:rsid w:val="001F6525"/>
    <w:rsid w:val="001F6DC8"/>
    <w:rsid w:val="001F6E1E"/>
    <w:rsid w:val="001F72BB"/>
    <w:rsid w:val="001F773B"/>
    <w:rsid w:val="001F78B4"/>
    <w:rsid w:val="001F7C6D"/>
    <w:rsid w:val="001F7E03"/>
    <w:rsid w:val="0020057B"/>
    <w:rsid w:val="00200791"/>
    <w:rsid w:val="002007F1"/>
    <w:rsid w:val="00201765"/>
    <w:rsid w:val="00201882"/>
    <w:rsid w:val="00201D35"/>
    <w:rsid w:val="00201F0D"/>
    <w:rsid w:val="0020210B"/>
    <w:rsid w:val="0020244F"/>
    <w:rsid w:val="00202568"/>
    <w:rsid w:val="00202850"/>
    <w:rsid w:val="0020295E"/>
    <w:rsid w:val="00202B61"/>
    <w:rsid w:val="00202E5D"/>
    <w:rsid w:val="00203036"/>
    <w:rsid w:val="002032C0"/>
    <w:rsid w:val="002033CB"/>
    <w:rsid w:val="002035C7"/>
    <w:rsid w:val="0020379F"/>
    <w:rsid w:val="00203978"/>
    <w:rsid w:val="00203BDA"/>
    <w:rsid w:val="00203C89"/>
    <w:rsid w:val="00203D51"/>
    <w:rsid w:val="00203EC8"/>
    <w:rsid w:val="0020423E"/>
    <w:rsid w:val="002042EF"/>
    <w:rsid w:val="002043AC"/>
    <w:rsid w:val="00204A91"/>
    <w:rsid w:val="00204C92"/>
    <w:rsid w:val="00204D47"/>
    <w:rsid w:val="002050A0"/>
    <w:rsid w:val="0020540C"/>
    <w:rsid w:val="00205B78"/>
    <w:rsid w:val="0020655B"/>
    <w:rsid w:val="0020677C"/>
    <w:rsid w:val="0020694F"/>
    <w:rsid w:val="00206BF3"/>
    <w:rsid w:val="00206CB7"/>
    <w:rsid w:val="00206D2C"/>
    <w:rsid w:val="00206EBC"/>
    <w:rsid w:val="00207136"/>
    <w:rsid w:val="002071BF"/>
    <w:rsid w:val="002071E9"/>
    <w:rsid w:val="0020769D"/>
    <w:rsid w:val="002077D6"/>
    <w:rsid w:val="00207C49"/>
    <w:rsid w:val="00207CA3"/>
    <w:rsid w:val="00207CE0"/>
    <w:rsid w:val="00207CE3"/>
    <w:rsid w:val="00207DC4"/>
    <w:rsid w:val="00207EA1"/>
    <w:rsid w:val="002100F5"/>
    <w:rsid w:val="00210411"/>
    <w:rsid w:val="002104A2"/>
    <w:rsid w:val="00210A4A"/>
    <w:rsid w:val="00210CD7"/>
    <w:rsid w:val="00210EEA"/>
    <w:rsid w:val="00211259"/>
    <w:rsid w:val="002112DA"/>
    <w:rsid w:val="002113CF"/>
    <w:rsid w:val="0021176C"/>
    <w:rsid w:val="002117C8"/>
    <w:rsid w:val="00211EEC"/>
    <w:rsid w:val="0021211A"/>
    <w:rsid w:val="00212651"/>
    <w:rsid w:val="0021268F"/>
    <w:rsid w:val="002126B5"/>
    <w:rsid w:val="0021294F"/>
    <w:rsid w:val="00212B22"/>
    <w:rsid w:val="00212C47"/>
    <w:rsid w:val="00212E90"/>
    <w:rsid w:val="00212EF1"/>
    <w:rsid w:val="00213642"/>
    <w:rsid w:val="002138FA"/>
    <w:rsid w:val="00213BA0"/>
    <w:rsid w:val="00213E13"/>
    <w:rsid w:val="0021409B"/>
    <w:rsid w:val="002140A6"/>
    <w:rsid w:val="002141D7"/>
    <w:rsid w:val="00214302"/>
    <w:rsid w:val="002146A8"/>
    <w:rsid w:val="0021485E"/>
    <w:rsid w:val="00214C34"/>
    <w:rsid w:val="00215139"/>
    <w:rsid w:val="002151C8"/>
    <w:rsid w:val="00215270"/>
    <w:rsid w:val="00215686"/>
    <w:rsid w:val="002157BD"/>
    <w:rsid w:val="002157E3"/>
    <w:rsid w:val="00215952"/>
    <w:rsid w:val="00215C7C"/>
    <w:rsid w:val="00215FC7"/>
    <w:rsid w:val="00216096"/>
    <w:rsid w:val="002164AC"/>
    <w:rsid w:val="002164AE"/>
    <w:rsid w:val="00216687"/>
    <w:rsid w:val="0021676C"/>
    <w:rsid w:val="0021696C"/>
    <w:rsid w:val="00216ADF"/>
    <w:rsid w:val="00217011"/>
    <w:rsid w:val="002179B9"/>
    <w:rsid w:val="002179E1"/>
    <w:rsid w:val="00217A05"/>
    <w:rsid w:val="00217AE5"/>
    <w:rsid w:val="00217BD0"/>
    <w:rsid w:val="00217FAD"/>
    <w:rsid w:val="00220021"/>
    <w:rsid w:val="00220030"/>
    <w:rsid w:val="00220722"/>
    <w:rsid w:val="0022072D"/>
    <w:rsid w:val="00220DAD"/>
    <w:rsid w:val="002210AD"/>
    <w:rsid w:val="002210E7"/>
    <w:rsid w:val="002214C5"/>
    <w:rsid w:val="00221A2D"/>
    <w:rsid w:val="00221BCD"/>
    <w:rsid w:val="00221D1E"/>
    <w:rsid w:val="00221F3B"/>
    <w:rsid w:val="00222178"/>
    <w:rsid w:val="002221CB"/>
    <w:rsid w:val="00222488"/>
    <w:rsid w:val="00222AEC"/>
    <w:rsid w:val="00222B25"/>
    <w:rsid w:val="00222F65"/>
    <w:rsid w:val="002230CF"/>
    <w:rsid w:val="00223625"/>
    <w:rsid w:val="002238CC"/>
    <w:rsid w:val="00223D50"/>
    <w:rsid w:val="00224065"/>
    <w:rsid w:val="00224107"/>
    <w:rsid w:val="002242E8"/>
    <w:rsid w:val="002243D9"/>
    <w:rsid w:val="00224514"/>
    <w:rsid w:val="00225191"/>
    <w:rsid w:val="0022520A"/>
    <w:rsid w:val="00225551"/>
    <w:rsid w:val="002257F4"/>
    <w:rsid w:val="00225979"/>
    <w:rsid w:val="00226155"/>
    <w:rsid w:val="0022677A"/>
    <w:rsid w:val="00226865"/>
    <w:rsid w:val="00226BB0"/>
    <w:rsid w:val="002272DC"/>
    <w:rsid w:val="0022758A"/>
    <w:rsid w:val="002279D9"/>
    <w:rsid w:val="00227BB5"/>
    <w:rsid w:val="00227C14"/>
    <w:rsid w:val="00227D74"/>
    <w:rsid w:val="00230006"/>
    <w:rsid w:val="002302DB"/>
    <w:rsid w:val="00230325"/>
    <w:rsid w:val="00230EF1"/>
    <w:rsid w:val="002311B9"/>
    <w:rsid w:val="0023129F"/>
    <w:rsid w:val="0023157F"/>
    <w:rsid w:val="0023191A"/>
    <w:rsid w:val="00231973"/>
    <w:rsid w:val="00231CDE"/>
    <w:rsid w:val="00231E3A"/>
    <w:rsid w:val="00231F14"/>
    <w:rsid w:val="0023222B"/>
    <w:rsid w:val="002322EE"/>
    <w:rsid w:val="0023247D"/>
    <w:rsid w:val="0023267C"/>
    <w:rsid w:val="00232ABF"/>
    <w:rsid w:val="00233372"/>
    <w:rsid w:val="0023353F"/>
    <w:rsid w:val="00233654"/>
    <w:rsid w:val="00233B7B"/>
    <w:rsid w:val="002342DD"/>
    <w:rsid w:val="002344A0"/>
    <w:rsid w:val="00234ABA"/>
    <w:rsid w:val="00234B22"/>
    <w:rsid w:val="0023528A"/>
    <w:rsid w:val="002352F4"/>
    <w:rsid w:val="00235544"/>
    <w:rsid w:val="00235763"/>
    <w:rsid w:val="002359C6"/>
    <w:rsid w:val="00235B02"/>
    <w:rsid w:val="00235B7F"/>
    <w:rsid w:val="00235E38"/>
    <w:rsid w:val="002360D0"/>
    <w:rsid w:val="002361CA"/>
    <w:rsid w:val="0023652F"/>
    <w:rsid w:val="00236974"/>
    <w:rsid w:val="00236AA7"/>
    <w:rsid w:val="00236B8F"/>
    <w:rsid w:val="00236DED"/>
    <w:rsid w:val="00236E84"/>
    <w:rsid w:val="002376AA"/>
    <w:rsid w:val="00237C15"/>
    <w:rsid w:val="00237FC9"/>
    <w:rsid w:val="00240150"/>
    <w:rsid w:val="002403AB"/>
    <w:rsid w:val="00240B27"/>
    <w:rsid w:val="00240E43"/>
    <w:rsid w:val="00240E56"/>
    <w:rsid w:val="00240F9D"/>
    <w:rsid w:val="002412BF"/>
    <w:rsid w:val="002412FB"/>
    <w:rsid w:val="00241615"/>
    <w:rsid w:val="00241A53"/>
    <w:rsid w:val="00241B90"/>
    <w:rsid w:val="00241C61"/>
    <w:rsid w:val="00241EA1"/>
    <w:rsid w:val="002421B4"/>
    <w:rsid w:val="002424C3"/>
    <w:rsid w:val="002427BF"/>
    <w:rsid w:val="00243F28"/>
    <w:rsid w:val="00243F52"/>
    <w:rsid w:val="00244380"/>
    <w:rsid w:val="0024477E"/>
    <w:rsid w:val="00244A81"/>
    <w:rsid w:val="00244C7B"/>
    <w:rsid w:val="00244DD6"/>
    <w:rsid w:val="00244F9C"/>
    <w:rsid w:val="00244FBB"/>
    <w:rsid w:val="002451E7"/>
    <w:rsid w:val="0024567B"/>
    <w:rsid w:val="002457C9"/>
    <w:rsid w:val="002459BE"/>
    <w:rsid w:val="00245A18"/>
    <w:rsid w:val="00245CEC"/>
    <w:rsid w:val="00245DD4"/>
    <w:rsid w:val="00245F1A"/>
    <w:rsid w:val="00245FD2"/>
    <w:rsid w:val="002461C0"/>
    <w:rsid w:val="002466BF"/>
    <w:rsid w:val="00246A67"/>
    <w:rsid w:val="00246B47"/>
    <w:rsid w:val="00246B6E"/>
    <w:rsid w:val="00246EE6"/>
    <w:rsid w:val="0024711B"/>
    <w:rsid w:val="00247BE0"/>
    <w:rsid w:val="00247C8F"/>
    <w:rsid w:val="00247E78"/>
    <w:rsid w:val="002503F2"/>
    <w:rsid w:val="002505E4"/>
    <w:rsid w:val="002506CB"/>
    <w:rsid w:val="00250A1E"/>
    <w:rsid w:val="00250BDB"/>
    <w:rsid w:val="0025126E"/>
    <w:rsid w:val="0025135F"/>
    <w:rsid w:val="00251683"/>
    <w:rsid w:val="0025177C"/>
    <w:rsid w:val="0025177D"/>
    <w:rsid w:val="00251D9C"/>
    <w:rsid w:val="00251EA9"/>
    <w:rsid w:val="002521C5"/>
    <w:rsid w:val="002522BE"/>
    <w:rsid w:val="0025230A"/>
    <w:rsid w:val="0025249F"/>
    <w:rsid w:val="00252540"/>
    <w:rsid w:val="00252682"/>
    <w:rsid w:val="00252710"/>
    <w:rsid w:val="00252E92"/>
    <w:rsid w:val="002530C7"/>
    <w:rsid w:val="0025337F"/>
    <w:rsid w:val="002534E6"/>
    <w:rsid w:val="0025351C"/>
    <w:rsid w:val="002538A9"/>
    <w:rsid w:val="00253E7C"/>
    <w:rsid w:val="00253F2A"/>
    <w:rsid w:val="002546B1"/>
    <w:rsid w:val="00254778"/>
    <w:rsid w:val="002548BD"/>
    <w:rsid w:val="00254971"/>
    <w:rsid w:val="00254C30"/>
    <w:rsid w:val="00254C8E"/>
    <w:rsid w:val="00254CB8"/>
    <w:rsid w:val="00254DD1"/>
    <w:rsid w:val="00254E33"/>
    <w:rsid w:val="002552C6"/>
    <w:rsid w:val="002554D5"/>
    <w:rsid w:val="00255D54"/>
    <w:rsid w:val="0025611E"/>
    <w:rsid w:val="00256418"/>
    <w:rsid w:val="002569F5"/>
    <w:rsid w:val="00256B58"/>
    <w:rsid w:val="002572EA"/>
    <w:rsid w:val="002573BB"/>
    <w:rsid w:val="0025780D"/>
    <w:rsid w:val="002578FA"/>
    <w:rsid w:val="00257C26"/>
    <w:rsid w:val="0026058A"/>
    <w:rsid w:val="002606E3"/>
    <w:rsid w:val="002609BD"/>
    <w:rsid w:val="00260DC3"/>
    <w:rsid w:val="002617E4"/>
    <w:rsid w:val="00261918"/>
    <w:rsid w:val="00261FB3"/>
    <w:rsid w:val="002620CC"/>
    <w:rsid w:val="00262256"/>
    <w:rsid w:val="00262408"/>
    <w:rsid w:val="0026243D"/>
    <w:rsid w:val="002624D4"/>
    <w:rsid w:val="002625DD"/>
    <w:rsid w:val="002628D7"/>
    <w:rsid w:val="00262E2B"/>
    <w:rsid w:val="00262F53"/>
    <w:rsid w:val="00263019"/>
    <w:rsid w:val="00263209"/>
    <w:rsid w:val="002632F7"/>
    <w:rsid w:val="00263723"/>
    <w:rsid w:val="00263ABD"/>
    <w:rsid w:val="00263BEF"/>
    <w:rsid w:val="00263CB1"/>
    <w:rsid w:val="00263CEB"/>
    <w:rsid w:val="0026455E"/>
    <w:rsid w:val="002648B0"/>
    <w:rsid w:val="002649E4"/>
    <w:rsid w:val="00264B61"/>
    <w:rsid w:val="00265AB0"/>
    <w:rsid w:val="00265CED"/>
    <w:rsid w:val="00265D91"/>
    <w:rsid w:val="00265DE7"/>
    <w:rsid w:val="00266088"/>
    <w:rsid w:val="00266448"/>
    <w:rsid w:val="0026661C"/>
    <w:rsid w:val="002666D6"/>
    <w:rsid w:val="00266AEB"/>
    <w:rsid w:val="00266DB9"/>
    <w:rsid w:val="00266E6B"/>
    <w:rsid w:val="002672C1"/>
    <w:rsid w:val="00267592"/>
    <w:rsid w:val="00267CE9"/>
    <w:rsid w:val="00267DBA"/>
    <w:rsid w:val="002701A0"/>
    <w:rsid w:val="002701AC"/>
    <w:rsid w:val="00270396"/>
    <w:rsid w:val="002706BE"/>
    <w:rsid w:val="00270959"/>
    <w:rsid w:val="00270EDE"/>
    <w:rsid w:val="00271090"/>
    <w:rsid w:val="002710FA"/>
    <w:rsid w:val="00271179"/>
    <w:rsid w:val="0027121D"/>
    <w:rsid w:val="002717A3"/>
    <w:rsid w:val="00271958"/>
    <w:rsid w:val="00271BA3"/>
    <w:rsid w:val="00271C5C"/>
    <w:rsid w:val="00271D2A"/>
    <w:rsid w:val="002722D0"/>
    <w:rsid w:val="002722D1"/>
    <w:rsid w:val="00272414"/>
    <w:rsid w:val="0027262D"/>
    <w:rsid w:val="002727B7"/>
    <w:rsid w:val="00272A0E"/>
    <w:rsid w:val="00272AF9"/>
    <w:rsid w:val="00272D5F"/>
    <w:rsid w:val="00272D63"/>
    <w:rsid w:val="002732AB"/>
    <w:rsid w:val="0027331A"/>
    <w:rsid w:val="00273AA1"/>
    <w:rsid w:val="00273C79"/>
    <w:rsid w:val="00274054"/>
    <w:rsid w:val="002742E0"/>
    <w:rsid w:val="002743D0"/>
    <w:rsid w:val="00274641"/>
    <w:rsid w:val="00274AF9"/>
    <w:rsid w:val="00274DAE"/>
    <w:rsid w:val="00274FDD"/>
    <w:rsid w:val="00275037"/>
    <w:rsid w:val="00275303"/>
    <w:rsid w:val="0027537B"/>
    <w:rsid w:val="00275711"/>
    <w:rsid w:val="00275866"/>
    <w:rsid w:val="00275952"/>
    <w:rsid w:val="00275C6C"/>
    <w:rsid w:val="00275DC7"/>
    <w:rsid w:val="00275F03"/>
    <w:rsid w:val="0027628C"/>
    <w:rsid w:val="002763EA"/>
    <w:rsid w:val="0027662B"/>
    <w:rsid w:val="002766C7"/>
    <w:rsid w:val="00276912"/>
    <w:rsid w:val="00276FBA"/>
    <w:rsid w:val="002775BB"/>
    <w:rsid w:val="00277678"/>
    <w:rsid w:val="0027769E"/>
    <w:rsid w:val="002778CE"/>
    <w:rsid w:val="002779D0"/>
    <w:rsid w:val="00277F78"/>
    <w:rsid w:val="002802E9"/>
    <w:rsid w:val="002802F5"/>
    <w:rsid w:val="0028065D"/>
    <w:rsid w:val="00280862"/>
    <w:rsid w:val="00280A75"/>
    <w:rsid w:val="00280BEA"/>
    <w:rsid w:val="00280C3C"/>
    <w:rsid w:val="00280CAC"/>
    <w:rsid w:val="00280D68"/>
    <w:rsid w:val="00281228"/>
    <w:rsid w:val="00281321"/>
    <w:rsid w:val="00281945"/>
    <w:rsid w:val="00281C8E"/>
    <w:rsid w:val="00281F30"/>
    <w:rsid w:val="00281FAD"/>
    <w:rsid w:val="00282260"/>
    <w:rsid w:val="00282534"/>
    <w:rsid w:val="00282566"/>
    <w:rsid w:val="00282907"/>
    <w:rsid w:val="00282C14"/>
    <w:rsid w:val="00282D15"/>
    <w:rsid w:val="00282FBB"/>
    <w:rsid w:val="002830CB"/>
    <w:rsid w:val="00283777"/>
    <w:rsid w:val="00283809"/>
    <w:rsid w:val="00283D10"/>
    <w:rsid w:val="00283D4A"/>
    <w:rsid w:val="00284134"/>
    <w:rsid w:val="002842AC"/>
    <w:rsid w:val="00284474"/>
    <w:rsid w:val="00284950"/>
    <w:rsid w:val="00284BCE"/>
    <w:rsid w:val="00284D1E"/>
    <w:rsid w:val="00285282"/>
    <w:rsid w:val="00285284"/>
    <w:rsid w:val="0028543B"/>
    <w:rsid w:val="00285510"/>
    <w:rsid w:val="00285FB5"/>
    <w:rsid w:val="00286040"/>
    <w:rsid w:val="00286445"/>
    <w:rsid w:val="0028660E"/>
    <w:rsid w:val="0028661E"/>
    <w:rsid w:val="00286779"/>
    <w:rsid w:val="002868B1"/>
    <w:rsid w:val="002868E2"/>
    <w:rsid w:val="002871E0"/>
    <w:rsid w:val="00287506"/>
    <w:rsid w:val="00287636"/>
    <w:rsid w:val="00287BC7"/>
    <w:rsid w:val="00290020"/>
    <w:rsid w:val="002903D1"/>
    <w:rsid w:val="0029083A"/>
    <w:rsid w:val="00290A95"/>
    <w:rsid w:val="00290D5F"/>
    <w:rsid w:val="00290D72"/>
    <w:rsid w:val="00290DDD"/>
    <w:rsid w:val="00290DF3"/>
    <w:rsid w:val="00290FFD"/>
    <w:rsid w:val="0029109C"/>
    <w:rsid w:val="002911A8"/>
    <w:rsid w:val="002911B5"/>
    <w:rsid w:val="00291248"/>
    <w:rsid w:val="0029124D"/>
    <w:rsid w:val="0029127D"/>
    <w:rsid w:val="002912F0"/>
    <w:rsid w:val="00291368"/>
    <w:rsid w:val="00291567"/>
    <w:rsid w:val="00291AE7"/>
    <w:rsid w:val="00291FA7"/>
    <w:rsid w:val="002922D5"/>
    <w:rsid w:val="0029239F"/>
    <w:rsid w:val="00292A43"/>
    <w:rsid w:val="00292C9D"/>
    <w:rsid w:val="00292C9F"/>
    <w:rsid w:val="00292D68"/>
    <w:rsid w:val="002930F5"/>
    <w:rsid w:val="002931E0"/>
    <w:rsid w:val="00293686"/>
    <w:rsid w:val="002938A8"/>
    <w:rsid w:val="00293F4E"/>
    <w:rsid w:val="00294009"/>
    <w:rsid w:val="002940CA"/>
    <w:rsid w:val="00294295"/>
    <w:rsid w:val="00294A55"/>
    <w:rsid w:val="00294C54"/>
    <w:rsid w:val="002953EC"/>
    <w:rsid w:val="0029551A"/>
    <w:rsid w:val="00295560"/>
    <w:rsid w:val="00295827"/>
    <w:rsid w:val="0029605A"/>
    <w:rsid w:val="00296077"/>
    <w:rsid w:val="0029622D"/>
    <w:rsid w:val="002964FF"/>
    <w:rsid w:val="00296660"/>
    <w:rsid w:val="00296C32"/>
    <w:rsid w:val="00297314"/>
    <w:rsid w:val="002974BF"/>
    <w:rsid w:val="002978A5"/>
    <w:rsid w:val="00297D26"/>
    <w:rsid w:val="002A0008"/>
    <w:rsid w:val="002A0255"/>
    <w:rsid w:val="002A0390"/>
    <w:rsid w:val="002A04D2"/>
    <w:rsid w:val="002A0E29"/>
    <w:rsid w:val="002A1029"/>
    <w:rsid w:val="002A11EE"/>
    <w:rsid w:val="002A1BF8"/>
    <w:rsid w:val="002A1CAD"/>
    <w:rsid w:val="002A2049"/>
    <w:rsid w:val="002A2187"/>
    <w:rsid w:val="002A22A1"/>
    <w:rsid w:val="002A23F7"/>
    <w:rsid w:val="002A2461"/>
    <w:rsid w:val="002A2697"/>
    <w:rsid w:val="002A2DF0"/>
    <w:rsid w:val="002A2FF1"/>
    <w:rsid w:val="002A339C"/>
    <w:rsid w:val="002A3513"/>
    <w:rsid w:val="002A3702"/>
    <w:rsid w:val="002A39F2"/>
    <w:rsid w:val="002A3ABA"/>
    <w:rsid w:val="002A3E37"/>
    <w:rsid w:val="002A3FB1"/>
    <w:rsid w:val="002A44E2"/>
    <w:rsid w:val="002A45D8"/>
    <w:rsid w:val="002A4B57"/>
    <w:rsid w:val="002A4CC5"/>
    <w:rsid w:val="002A5032"/>
    <w:rsid w:val="002A5263"/>
    <w:rsid w:val="002A57FA"/>
    <w:rsid w:val="002A581A"/>
    <w:rsid w:val="002A59C4"/>
    <w:rsid w:val="002A5ADC"/>
    <w:rsid w:val="002A5B4E"/>
    <w:rsid w:val="002A6894"/>
    <w:rsid w:val="002A6AFF"/>
    <w:rsid w:val="002A6D2B"/>
    <w:rsid w:val="002A79B0"/>
    <w:rsid w:val="002A7A8C"/>
    <w:rsid w:val="002B0238"/>
    <w:rsid w:val="002B044E"/>
    <w:rsid w:val="002B0515"/>
    <w:rsid w:val="002B07FC"/>
    <w:rsid w:val="002B0B2C"/>
    <w:rsid w:val="002B0FD8"/>
    <w:rsid w:val="002B10F5"/>
    <w:rsid w:val="002B1316"/>
    <w:rsid w:val="002B191C"/>
    <w:rsid w:val="002B1B76"/>
    <w:rsid w:val="002B20F2"/>
    <w:rsid w:val="002B22D7"/>
    <w:rsid w:val="002B2882"/>
    <w:rsid w:val="002B29E2"/>
    <w:rsid w:val="002B2B75"/>
    <w:rsid w:val="002B2CFC"/>
    <w:rsid w:val="002B2D9C"/>
    <w:rsid w:val="002B2F28"/>
    <w:rsid w:val="002B370D"/>
    <w:rsid w:val="002B3731"/>
    <w:rsid w:val="002B397F"/>
    <w:rsid w:val="002B3BC2"/>
    <w:rsid w:val="002B40B9"/>
    <w:rsid w:val="002B43E7"/>
    <w:rsid w:val="002B443C"/>
    <w:rsid w:val="002B44E5"/>
    <w:rsid w:val="002B4992"/>
    <w:rsid w:val="002B4AC8"/>
    <w:rsid w:val="002B4D65"/>
    <w:rsid w:val="002B4EDF"/>
    <w:rsid w:val="002B5488"/>
    <w:rsid w:val="002B55B1"/>
    <w:rsid w:val="002B5965"/>
    <w:rsid w:val="002B5BD6"/>
    <w:rsid w:val="002B5DB0"/>
    <w:rsid w:val="002B605A"/>
    <w:rsid w:val="002B6430"/>
    <w:rsid w:val="002B647B"/>
    <w:rsid w:val="002B6928"/>
    <w:rsid w:val="002B6B19"/>
    <w:rsid w:val="002B6FBE"/>
    <w:rsid w:val="002B7006"/>
    <w:rsid w:val="002B72A6"/>
    <w:rsid w:val="002B72C2"/>
    <w:rsid w:val="002B748C"/>
    <w:rsid w:val="002B7860"/>
    <w:rsid w:val="002B7D11"/>
    <w:rsid w:val="002B7D55"/>
    <w:rsid w:val="002B7D7F"/>
    <w:rsid w:val="002C01B7"/>
    <w:rsid w:val="002C0539"/>
    <w:rsid w:val="002C061B"/>
    <w:rsid w:val="002C09D3"/>
    <w:rsid w:val="002C1254"/>
    <w:rsid w:val="002C1378"/>
    <w:rsid w:val="002C153A"/>
    <w:rsid w:val="002C159B"/>
    <w:rsid w:val="002C162B"/>
    <w:rsid w:val="002C191F"/>
    <w:rsid w:val="002C1B51"/>
    <w:rsid w:val="002C1FAE"/>
    <w:rsid w:val="002C1FF8"/>
    <w:rsid w:val="002C22B6"/>
    <w:rsid w:val="002C247F"/>
    <w:rsid w:val="002C2645"/>
    <w:rsid w:val="002C2928"/>
    <w:rsid w:val="002C2948"/>
    <w:rsid w:val="002C2B51"/>
    <w:rsid w:val="002C2C31"/>
    <w:rsid w:val="002C2D40"/>
    <w:rsid w:val="002C362D"/>
    <w:rsid w:val="002C3882"/>
    <w:rsid w:val="002C3953"/>
    <w:rsid w:val="002C3DC8"/>
    <w:rsid w:val="002C3E42"/>
    <w:rsid w:val="002C3ED2"/>
    <w:rsid w:val="002C42A5"/>
    <w:rsid w:val="002C4455"/>
    <w:rsid w:val="002C5901"/>
    <w:rsid w:val="002C5BBA"/>
    <w:rsid w:val="002C5D62"/>
    <w:rsid w:val="002C5D9F"/>
    <w:rsid w:val="002C5DD5"/>
    <w:rsid w:val="002C60D0"/>
    <w:rsid w:val="002C6318"/>
    <w:rsid w:val="002C63FD"/>
    <w:rsid w:val="002C6675"/>
    <w:rsid w:val="002C6BB4"/>
    <w:rsid w:val="002C731F"/>
    <w:rsid w:val="002C7649"/>
    <w:rsid w:val="002C7658"/>
    <w:rsid w:val="002C76AD"/>
    <w:rsid w:val="002C774A"/>
    <w:rsid w:val="002C78F7"/>
    <w:rsid w:val="002C7D5A"/>
    <w:rsid w:val="002D06D6"/>
    <w:rsid w:val="002D078F"/>
    <w:rsid w:val="002D0F6C"/>
    <w:rsid w:val="002D0FE8"/>
    <w:rsid w:val="002D10CF"/>
    <w:rsid w:val="002D1197"/>
    <w:rsid w:val="002D13BE"/>
    <w:rsid w:val="002D15A9"/>
    <w:rsid w:val="002D16FF"/>
    <w:rsid w:val="002D17A9"/>
    <w:rsid w:val="002D17AB"/>
    <w:rsid w:val="002D1A01"/>
    <w:rsid w:val="002D1E56"/>
    <w:rsid w:val="002D1EBF"/>
    <w:rsid w:val="002D216D"/>
    <w:rsid w:val="002D2279"/>
    <w:rsid w:val="002D23B5"/>
    <w:rsid w:val="002D24CE"/>
    <w:rsid w:val="002D2519"/>
    <w:rsid w:val="002D275D"/>
    <w:rsid w:val="002D28F6"/>
    <w:rsid w:val="002D2978"/>
    <w:rsid w:val="002D2A1C"/>
    <w:rsid w:val="002D2B67"/>
    <w:rsid w:val="002D2ED9"/>
    <w:rsid w:val="002D2F94"/>
    <w:rsid w:val="002D3007"/>
    <w:rsid w:val="002D3234"/>
    <w:rsid w:val="002D34F1"/>
    <w:rsid w:val="002D3900"/>
    <w:rsid w:val="002D3DF6"/>
    <w:rsid w:val="002D4175"/>
    <w:rsid w:val="002D4433"/>
    <w:rsid w:val="002D4520"/>
    <w:rsid w:val="002D47BD"/>
    <w:rsid w:val="002D4C07"/>
    <w:rsid w:val="002D4D31"/>
    <w:rsid w:val="002D4EC7"/>
    <w:rsid w:val="002D5195"/>
    <w:rsid w:val="002D5C96"/>
    <w:rsid w:val="002D61C5"/>
    <w:rsid w:val="002D64AE"/>
    <w:rsid w:val="002D6779"/>
    <w:rsid w:val="002D67F3"/>
    <w:rsid w:val="002D6BB6"/>
    <w:rsid w:val="002D6FE0"/>
    <w:rsid w:val="002D7187"/>
    <w:rsid w:val="002D7216"/>
    <w:rsid w:val="002D727A"/>
    <w:rsid w:val="002D72CC"/>
    <w:rsid w:val="002D7468"/>
    <w:rsid w:val="002D7621"/>
    <w:rsid w:val="002D76B6"/>
    <w:rsid w:val="002D77D2"/>
    <w:rsid w:val="002D7FA7"/>
    <w:rsid w:val="002E00E3"/>
    <w:rsid w:val="002E0226"/>
    <w:rsid w:val="002E0358"/>
    <w:rsid w:val="002E03B7"/>
    <w:rsid w:val="002E093C"/>
    <w:rsid w:val="002E0ED1"/>
    <w:rsid w:val="002E0F2A"/>
    <w:rsid w:val="002E0F4C"/>
    <w:rsid w:val="002E11B7"/>
    <w:rsid w:val="002E14A5"/>
    <w:rsid w:val="002E17A2"/>
    <w:rsid w:val="002E1B11"/>
    <w:rsid w:val="002E1E7F"/>
    <w:rsid w:val="002E1E97"/>
    <w:rsid w:val="002E218C"/>
    <w:rsid w:val="002E286C"/>
    <w:rsid w:val="002E2967"/>
    <w:rsid w:val="002E2C4A"/>
    <w:rsid w:val="002E2FCC"/>
    <w:rsid w:val="002E31F2"/>
    <w:rsid w:val="002E38EB"/>
    <w:rsid w:val="002E3A3A"/>
    <w:rsid w:val="002E3B8B"/>
    <w:rsid w:val="002E3CD8"/>
    <w:rsid w:val="002E4120"/>
    <w:rsid w:val="002E417A"/>
    <w:rsid w:val="002E421F"/>
    <w:rsid w:val="002E4224"/>
    <w:rsid w:val="002E4AB7"/>
    <w:rsid w:val="002E4D1F"/>
    <w:rsid w:val="002E508A"/>
    <w:rsid w:val="002E5175"/>
    <w:rsid w:val="002E55EF"/>
    <w:rsid w:val="002E5699"/>
    <w:rsid w:val="002E56EC"/>
    <w:rsid w:val="002E581B"/>
    <w:rsid w:val="002E5874"/>
    <w:rsid w:val="002E5A80"/>
    <w:rsid w:val="002E5DDA"/>
    <w:rsid w:val="002E5DE9"/>
    <w:rsid w:val="002E5EB7"/>
    <w:rsid w:val="002E5F2A"/>
    <w:rsid w:val="002E657A"/>
    <w:rsid w:val="002E695A"/>
    <w:rsid w:val="002E69D1"/>
    <w:rsid w:val="002E6B92"/>
    <w:rsid w:val="002E6C71"/>
    <w:rsid w:val="002E6CF4"/>
    <w:rsid w:val="002E6F39"/>
    <w:rsid w:val="002E6F78"/>
    <w:rsid w:val="002E74DD"/>
    <w:rsid w:val="002E7578"/>
    <w:rsid w:val="002E768B"/>
    <w:rsid w:val="002E76E2"/>
    <w:rsid w:val="002E78FC"/>
    <w:rsid w:val="002E79BB"/>
    <w:rsid w:val="002E79C0"/>
    <w:rsid w:val="002F052A"/>
    <w:rsid w:val="002F0D72"/>
    <w:rsid w:val="002F0DE9"/>
    <w:rsid w:val="002F1025"/>
    <w:rsid w:val="002F13DB"/>
    <w:rsid w:val="002F1637"/>
    <w:rsid w:val="002F1DC3"/>
    <w:rsid w:val="002F1EF5"/>
    <w:rsid w:val="002F214C"/>
    <w:rsid w:val="002F22CC"/>
    <w:rsid w:val="002F283B"/>
    <w:rsid w:val="002F2A02"/>
    <w:rsid w:val="002F2A93"/>
    <w:rsid w:val="002F3228"/>
    <w:rsid w:val="002F32FB"/>
    <w:rsid w:val="002F336D"/>
    <w:rsid w:val="002F346E"/>
    <w:rsid w:val="002F3756"/>
    <w:rsid w:val="002F3A8B"/>
    <w:rsid w:val="002F3E34"/>
    <w:rsid w:val="002F3E3E"/>
    <w:rsid w:val="002F4169"/>
    <w:rsid w:val="002F432E"/>
    <w:rsid w:val="002F4476"/>
    <w:rsid w:val="002F44A5"/>
    <w:rsid w:val="002F4645"/>
    <w:rsid w:val="002F4773"/>
    <w:rsid w:val="002F48D6"/>
    <w:rsid w:val="002F4BD6"/>
    <w:rsid w:val="002F4C35"/>
    <w:rsid w:val="002F4C5D"/>
    <w:rsid w:val="002F4CC1"/>
    <w:rsid w:val="002F4DA9"/>
    <w:rsid w:val="002F4F2D"/>
    <w:rsid w:val="002F4F49"/>
    <w:rsid w:val="002F4FCE"/>
    <w:rsid w:val="002F50A7"/>
    <w:rsid w:val="002F5131"/>
    <w:rsid w:val="002F5473"/>
    <w:rsid w:val="002F5E02"/>
    <w:rsid w:val="002F5E47"/>
    <w:rsid w:val="002F5FED"/>
    <w:rsid w:val="002F6278"/>
    <w:rsid w:val="002F66FE"/>
    <w:rsid w:val="002F6831"/>
    <w:rsid w:val="002F6C02"/>
    <w:rsid w:val="002F721F"/>
    <w:rsid w:val="002F7463"/>
    <w:rsid w:val="002F75F5"/>
    <w:rsid w:val="002F776A"/>
    <w:rsid w:val="002F7BE9"/>
    <w:rsid w:val="002F7D74"/>
    <w:rsid w:val="002F7DFC"/>
    <w:rsid w:val="00300004"/>
    <w:rsid w:val="00300156"/>
    <w:rsid w:val="00300353"/>
    <w:rsid w:val="0030043B"/>
    <w:rsid w:val="00300977"/>
    <w:rsid w:val="00300C5D"/>
    <w:rsid w:val="0030106E"/>
    <w:rsid w:val="00301223"/>
    <w:rsid w:val="00301417"/>
    <w:rsid w:val="00301957"/>
    <w:rsid w:val="00301CBD"/>
    <w:rsid w:val="00302017"/>
    <w:rsid w:val="00302165"/>
    <w:rsid w:val="003023FC"/>
    <w:rsid w:val="003025F9"/>
    <w:rsid w:val="00302AA8"/>
    <w:rsid w:val="00302F2F"/>
    <w:rsid w:val="003031B1"/>
    <w:rsid w:val="0030333E"/>
    <w:rsid w:val="00303392"/>
    <w:rsid w:val="00303403"/>
    <w:rsid w:val="0030347D"/>
    <w:rsid w:val="00303517"/>
    <w:rsid w:val="00303780"/>
    <w:rsid w:val="003039E6"/>
    <w:rsid w:val="00303B4A"/>
    <w:rsid w:val="00303C80"/>
    <w:rsid w:val="00303CBD"/>
    <w:rsid w:val="00304415"/>
    <w:rsid w:val="0030447C"/>
    <w:rsid w:val="003048F3"/>
    <w:rsid w:val="00304B8B"/>
    <w:rsid w:val="00304D2C"/>
    <w:rsid w:val="00304E2C"/>
    <w:rsid w:val="00304FE0"/>
    <w:rsid w:val="00305279"/>
    <w:rsid w:val="0030542F"/>
    <w:rsid w:val="00305899"/>
    <w:rsid w:val="00305BA2"/>
    <w:rsid w:val="00305C7B"/>
    <w:rsid w:val="00306521"/>
    <w:rsid w:val="003065CE"/>
    <w:rsid w:val="00306714"/>
    <w:rsid w:val="0030680B"/>
    <w:rsid w:val="00306BAC"/>
    <w:rsid w:val="00306CA2"/>
    <w:rsid w:val="00306EA1"/>
    <w:rsid w:val="00306FCC"/>
    <w:rsid w:val="003076DA"/>
    <w:rsid w:val="00307ACC"/>
    <w:rsid w:val="00307C54"/>
    <w:rsid w:val="00307C82"/>
    <w:rsid w:val="00307F78"/>
    <w:rsid w:val="0031039C"/>
    <w:rsid w:val="0031039D"/>
    <w:rsid w:val="00310513"/>
    <w:rsid w:val="0031097D"/>
    <w:rsid w:val="00310DCE"/>
    <w:rsid w:val="00310ED7"/>
    <w:rsid w:val="003113D3"/>
    <w:rsid w:val="0031142E"/>
    <w:rsid w:val="00311866"/>
    <w:rsid w:val="0031197C"/>
    <w:rsid w:val="00311B1A"/>
    <w:rsid w:val="0031203F"/>
    <w:rsid w:val="00312B88"/>
    <w:rsid w:val="00312DA6"/>
    <w:rsid w:val="003131B0"/>
    <w:rsid w:val="0031325D"/>
    <w:rsid w:val="003137DA"/>
    <w:rsid w:val="00313C40"/>
    <w:rsid w:val="00313D1A"/>
    <w:rsid w:val="00313D42"/>
    <w:rsid w:val="00314056"/>
    <w:rsid w:val="00314057"/>
    <w:rsid w:val="00314163"/>
    <w:rsid w:val="0031479C"/>
    <w:rsid w:val="00314888"/>
    <w:rsid w:val="003149AD"/>
    <w:rsid w:val="00315119"/>
    <w:rsid w:val="0031516A"/>
    <w:rsid w:val="00315205"/>
    <w:rsid w:val="003154CD"/>
    <w:rsid w:val="003155B1"/>
    <w:rsid w:val="00315D43"/>
    <w:rsid w:val="00315EB0"/>
    <w:rsid w:val="00316082"/>
    <w:rsid w:val="00316464"/>
    <w:rsid w:val="0031657D"/>
    <w:rsid w:val="00316AC6"/>
    <w:rsid w:val="00316D53"/>
    <w:rsid w:val="00317083"/>
    <w:rsid w:val="003177D6"/>
    <w:rsid w:val="003178FD"/>
    <w:rsid w:val="00317AF2"/>
    <w:rsid w:val="00317B8E"/>
    <w:rsid w:val="00317C34"/>
    <w:rsid w:val="00317DEF"/>
    <w:rsid w:val="00317FA5"/>
    <w:rsid w:val="003203A8"/>
    <w:rsid w:val="003209F9"/>
    <w:rsid w:val="00320CAE"/>
    <w:rsid w:val="00320DE6"/>
    <w:rsid w:val="00320DEB"/>
    <w:rsid w:val="00320FE6"/>
    <w:rsid w:val="003214E5"/>
    <w:rsid w:val="00321733"/>
    <w:rsid w:val="00321A15"/>
    <w:rsid w:val="00321CF4"/>
    <w:rsid w:val="003220D6"/>
    <w:rsid w:val="003221EE"/>
    <w:rsid w:val="003225D3"/>
    <w:rsid w:val="00322984"/>
    <w:rsid w:val="00322A67"/>
    <w:rsid w:val="00322BF3"/>
    <w:rsid w:val="00322D60"/>
    <w:rsid w:val="00322EBA"/>
    <w:rsid w:val="00323092"/>
    <w:rsid w:val="0032314A"/>
    <w:rsid w:val="00323781"/>
    <w:rsid w:val="00323922"/>
    <w:rsid w:val="00323C83"/>
    <w:rsid w:val="00323CB2"/>
    <w:rsid w:val="00323D47"/>
    <w:rsid w:val="00323EFC"/>
    <w:rsid w:val="00324225"/>
    <w:rsid w:val="00324227"/>
    <w:rsid w:val="0032428C"/>
    <w:rsid w:val="00324617"/>
    <w:rsid w:val="0032477F"/>
    <w:rsid w:val="00324860"/>
    <w:rsid w:val="00324CDB"/>
    <w:rsid w:val="00325124"/>
    <w:rsid w:val="00325619"/>
    <w:rsid w:val="0032571F"/>
    <w:rsid w:val="003257CB"/>
    <w:rsid w:val="00325E81"/>
    <w:rsid w:val="0032602D"/>
    <w:rsid w:val="0032605E"/>
    <w:rsid w:val="003261E7"/>
    <w:rsid w:val="003265F7"/>
    <w:rsid w:val="003266C9"/>
    <w:rsid w:val="00326C87"/>
    <w:rsid w:val="00326D1B"/>
    <w:rsid w:val="00326F69"/>
    <w:rsid w:val="003270A4"/>
    <w:rsid w:val="00327290"/>
    <w:rsid w:val="00327457"/>
    <w:rsid w:val="003278A6"/>
    <w:rsid w:val="00327B45"/>
    <w:rsid w:val="00327F59"/>
    <w:rsid w:val="003302F1"/>
    <w:rsid w:val="0033052F"/>
    <w:rsid w:val="00330576"/>
    <w:rsid w:val="003306D0"/>
    <w:rsid w:val="0033077D"/>
    <w:rsid w:val="00330F36"/>
    <w:rsid w:val="00331082"/>
    <w:rsid w:val="003316B7"/>
    <w:rsid w:val="003324D7"/>
    <w:rsid w:val="0033283A"/>
    <w:rsid w:val="003329D0"/>
    <w:rsid w:val="00332C40"/>
    <w:rsid w:val="00332DB3"/>
    <w:rsid w:val="003335E2"/>
    <w:rsid w:val="00333608"/>
    <w:rsid w:val="0033414E"/>
    <w:rsid w:val="00334162"/>
    <w:rsid w:val="0033467A"/>
    <w:rsid w:val="003350C5"/>
    <w:rsid w:val="00335323"/>
    <w:rsid w:val="003354B7"/>
    <w:rsid w:val="00335983"/>
    <w:rsid w:val="003359D0"/>
    <w:rsid w:val="00335C31"/>
    <w:rsid w:val="00335C34"/>
    <w:rsid w:val="00335D07"/>
    <w:rsid w:val="00335D9C"/>
    <w:rsid w:val="00335FD9"/>
    <w:rsid w:val="003360A9"/>
    <w:rsid w:val="00336193"/>
    <w:rsid w:val="003364B0"/>
    <w:rsid w:val="00336583"/>
    <w:rsid w:val="00336758"/>
    <w:rsid w:val="00336853"/>
    <w:rsid w:val="003369A8"/>
    <w:rsid w:val="00336A20"/>
    <w:rsid w:val="00336DF9"/>
    <w:rsid w:val="0033712C"/>
    <w:rsid w:val="00337385"/>
    <w:rsid w:val="0033752C"/>
    <w:rsid w:val="0033790D"/>
    <w:rsid w:val="00337CC0"/>
    <w:rsid w:val="003401FD"/>
    <w:rsid w:val="0034028C"/>
    <w:rsid w:val="003402D1"/>
    <w:rsid w:val="003407AF"/>
    <w:rsid w:val="00340AFD"/>
    <w:rsid w:val="00340D16"/>
    <w:rsid w:val="00340E5A"/>
    <w:rsid w:val="00341265"/>
    <w:rsid w:val="00341547"/>
    <w:rsid w:val="003417BB"/>
    <w:rsid w:val="003417BC"/>
    <w:rsid w:val="00342200"/>
    <w:rsid w:val="003422C3"/>
    <w:rsid w:val="00342438"/>
    <w:rsid w:val="00342529"/>
    <w:rsid w:val="003425B3"/>
    <w:rsid w:val="0034291E"/>
    <w:rsid w:val="00342C19"/>
    <w:rsid w:val="0034320B"/>
    <w:rsid w:val="00343224"/>
    <w:rsid w:val="0034335B"/>
    <w:rsid w:val="003433E9"/>
    <w:rsid w:val="003435C8"/>
    <w:rsid w:val="0034360B"/>
    <w:rsid w:val="00343F46"/>
    <w:rsid w:val="00344042"/>
    <w:rsid w:val="00344073"/>
    <w:rsid w:val="0034429B"/>
    <w:rsid w:val="003442EB"/>
    <w:rsid w:val="003443A3"/>
    <w:rsid w:val="00344803"/>
    <w:rsid w:val="003449C3"/>
    <w:rsid w:val="00344E46"/>
    <w:rsid w:val="00344EB0"/>
    <w:rsid w:val="00344ECB"/>
    <w:rsid w:val="00345288"/>
    <w:rsid w:val="00345806"/>
    <w:rsid w:val="003459C1"/>
    <w:rsid w:val="003459E3"/>
    <w:rsid w:val="00345B00"/>
    <w:rsid w:val="00345EBD"/>
    <w:rsid w:val="00346007"/>
    <w:rsid w:val="0034602B"/>
    <w:rsid w:val="003461B2"/>
    <w:rsid w:val="0034651D"/>
    <w:rsid w:val="003468F6"/>
    <w:rsid w:val="00346C9B"/>
    <w:rsid w:val="00346CFA"/>
    <w:rsid w:val="00347080"/>
    <w:rsid w:val="003470F3"/>
    <w:rsid w:val="00347253"/>
    <w:rsid w:val="003473DD"/>
    <w:rsid w:val="003476D4"/>
    <w:rsid w:val="00347805"/>
    <w:rsid w:val="00347A5D"/>
    <w:rsid w:val="00347B40"/>
    <w:rsid w:val="00347BF4"/>
    <w:rsid w:val="00347C7A"/>
    <w:rsid w:val="00347E67"/>
    <w:rsid w:val="00347E7D"/>
    <w:rsid w:val="00350628"/>
    <w:rsid w:val="00350BB9"/>
    <w:rsid w:val="0035104A"/>
    <w:rsid w:val="00351265"/>
    <w:rsid w:val="00351605"/>
    <w:rsid w:val="0035183E"/>
    <w:rsid w:val="00351888"/>
    <w:rsid w:val="00351905"/>
    <w:rsid w:val="00351A14"/>
    <w:rsid w:val="00351AC3"/>
    <w:rsid w:val="00351B3E"/>
    <w:rsid w:val="00351BC6"/>
    <w:rsid w:val="00351DD3"/>
    <w:rsid w:val="00351FD5"/>
    <w:rsid w:val="0035239F"/>
    <w:rsid w:val="00352C3E"/>
    <w:rsid w:val="00352D63"/>
    <w:rsid w:val="00353048"/>
    <w:rsid w:val="003533B6"/>
    <w:rsid w:val="0035341B"/>
    <w:rsid w:val="0035347E"/>
    <w:rsid w:val="00353623"/>
    <w:rsid w:val="003536ED"/>
    <w:rsid w:val="0035372B"/>
    <w:rsid w:val="00353758"/>
    <w:rsid w:val="003538E6"/>
    <w:rsid w:val="0035405B"/>
    <w:rsid w:val="00354135"/>
    <w:rsid w:val="003543CC"/>
    <w:rsid w:val="003544BD"/>
    <w:rsid w:val="0035450B"/>
    <w:rsid w:val="00354786"/>
    <w:rsid w:val="00355280"/>
    <w:rsid w:val="00355836"/>
    <w:rsid w:val="00355BC7"/>
    <w:rsid w:val="00355C47"/>
    <w:rsid w:val="00355E58"/>
    <w:rsid w:val="00355EDA"/>
    <w:rsid w:val="003562CE"/>
    <w:rsid w:val="003563A8"/>
    <w:rsid w:val="0035692E"/>
    <w:rsid w:val="00356BCE"/>
    <w:rsid w:val="0035751F"/>
    <w:rsid w:val="00357B66"/>
    <w:rsid w:val="00357C46"/>
    <w:rsid w:val="003600E6"/>
    <w:rsid w:val="00360649"/>
    <w:rsid w:val="00360E25"/>
    <w:rsid w:val="00360F55"/>
    <w:rsid w:val="003611D5"/>
    <w:rsid w:val="0036129D"/>
    <w:rsid w:val="003614B1"/>
    <w:rsid w:val="00361685"/>
    <w:rsid w:val="003618D9"/>
    <w:rsid w:val="00361C59"/>
    <w:rsid w:val="00361CEA"/>
    <w:rsid w:val="00361E49"/>
    <w:rsid w:val="00361E50"/>
    <w:rsid w:val="00361F57"/>
    <w:rsid w:val="00361F7A"/>
    <w:rsid w:val="00362612"/>
    <w:rsid w:val="0036283C"/>
    <w:rsid w:val="0036284F"/>
    <w:rsid w:val="00363043"/>
    <w:rsid w:val="00363552"/>
    <w:rsid w:val="003637B8"/>
    <w:rsid w:val="00363A13"/>
    <w:rsid w:val="00363DB8"/>
    <w:rsid w:val="0036443E"/>
    <w:rsid w:val="003647DD"/>
    <w:rsid w:val="00364D8A"/>
    <w:rsid w:val="00365133"/>
    <w:rsid w:val="0036531E"/>
    <w:rsid w:val="0036569E"/>
    <w:rsid w:val="00365E5F"/>
    <w:rsid w:val="00365EF2"/>
    <w:rsid w:val="00366022"/>
    <w:rsid w:val="003660D9"/>
    <w:rsid w:val="00366224"/>
    <w:rsid w:val="003668BE"/>
    <w:rsid w:val="0036698E"/>
    <w:rsid w:val="00366A97"/>
    <w:rsid w:val="00366F00"/>
    <w:rsid w:val="00366FFB"/>
    <w:rsid w:val="003671B4"/>
    <w:rsid w:val="00367AC1"/>
    <w:rsid w:val="00367BFF"/>
    <w:rsid w:val="00367E11"/>
    <w:rsid w:val="003700FA"/>
    <w:rsid w:val="00370122"/>
    <w:rsid w:val="0037034E"/>
    <w:rsid w:val="0037037E"/>
    <w:rsid w:val="00370D82"/>
    <w:rsid w:val="0037140F"/>
    <w:rsid w:val="00371704"/>
    <w:rsid w:val="00371B8F"/>
    <w:rsid w:val="003727D1"/>
    <w:rsid w:val="00372A91"/>
    <w:rsid w:val="00372BB3"/>
    <w:rsid w:val="00372BBD"/>
    <w:rsid w:val="00372BF3"/>
    <w:rsid w:val="00372C00"/>
    <w:rsid w:val="00372CB1"/>
    <w:rsid w:val="00372FA7"/>
    <w:rsid w:val="00372FBE"/>
    <w:rsid w:val="003730CB"/>
    <w:rsid w:val="003731FE"/>
    <w:rsid w:val="003732FD"/>
    <w:rsid w:val="003735F6"/>
    <w:rsid w:val="00373646"/>
    <w:rsid w:val="0037372A"/>
    <w:rsid w:val="0037387E"/>
    <w:rsid w:val="0037397C"/>
    <w:rsid w:val="00373A36"/>
    <w:rsid w:val="00373A49"/>
    <w:rsid w:val="00373EE7"/>
    <w:rsid w:val="00373EFB"/>
    <w:rsid w:val="003740F2"/>
    <w:rsid w:val="003746DA"/>
    <w:rsid w:val="0037540A"/>
    <w:rsid w:val="00375AE1"/>
    <w:rsid w:val="00375EEF"/>
    <w:rsid w:val="00375F0A"/>
    <w:rsid w:val="00376342"/>
    <w:rsid w:val="003763B5"/>
    <w:rsid w:val="003763B9"/>
    <w:rsid w:val="003767FE"/>
    <w:rsid w:val="0037698E"/>
    <w:rsid w:val="00376AD4"/>
    <w:rsid w:val="00376C64"/>
    <w:rsid w:val="00376F02"/>
    <w:rsid w:val="0037711F"/>
    <w:rsid w:val="003771A5"/>
    <w:rsid w:val="00377578"/>
    <w:rsid w:val="00377851"/>
    <w:rsid w:val="00377CD0"/>
    <w:rsid w:val="00377CDF"/>
    <w:rsid w:val="0038069C"/>
    <w:rsid w:val="00380C00"/>
    <w:rsid w:val="00380C4C"/>
    <w:rsid w:val="00380F35"/>
    <w:rsid w:val="0038111E"/>
    <w:rsid w:val="0038119D"/>
    <w:rsid w:val="003812B2"/>
    <w:rsid w:val="003817C3"/>
    <w:rsid w:val="00381B6D"/>
    <w:rsid w:val="00381F69"/>
    <w:rsid w:val="00382207"/>
    <w:rsid w:val="00382699"/>
    <w:rsid w:val="00382865"/>
    <w:rsid w:val="00382A81"/>
    <w:rsid w:val="00382A96"/>
    <w:rsid w:val="00382EBB"/>
    <w:rsid w:val="003835FA"/>
    <w:rsid w:val="003839E6"/>
    <w:rsid w:val="00383DA0"/>
    <w:rsid w:val="00383F99"/>
    <w:rsid w:val="0038417F"/>
    <w:rsid w:val="0038450B"/>
    <w:rsid w:val="00384CFE"/>
    <w:rsid w:val="00384F95"/>
    <w:rsid w:val="003853FA"/>
    <w:rsid w:val="00385882"/>
    <w:rsid w:val="00385C29"/>
    <w:rsid w:val="00385E87"/>
    <w:rsid w:val="003860D2"/>
    <w:rsid w:val="00386189"/>
    <w:rsid w:val="00386944"/>
    <w:rsid w:val="00386AC7"/>
    <w:rsid w:val="00386AE9"/>
    <w:rsid w:val="00386C50"/>
    <w:rsid w:val="00386D04"/>
    <w:rsid w:val="00386D1C"/>
    <w:rsid w:val="00386F02"/>
    <w:rsid w:val="003870EF"/>
    <w:rsid w:val="003871B2"/>
    <w:rsid w:val="0038772F"/>
    <w:rsid w:val="003877CD"/>
    <w:rsid w:val="0039008A"/>
    <w:rsid w:val="003905B2"/>
    <w:rsid w:val="003906A2"/>
    <w:rsid w:val="00390B19"/>
    <w:rsid w:val="00390C9F"/>
    <w:rsid w:val="00391141"/>
    <w:rsid w:val="003912EF"/>
    <w:rsid w:val="003912F8"/>
    <w:rsid w:val="003916AD"/>
    <w:rsid w:val="003919B8"/>
    <w:rsid w:val="00391D58"/>
    <w:rsid w:val="00391EF4"/>
    <w:rsid w:val="00392313"/>
    <w:rsid w:val="00392B57"/>
    <w:rsid w:val="00392CF5"/>
    <w:rsid w:val="00392F52"/>
    <w:rsid w:val="00393348"/>
    <w:rsid w:val="00393435"/>
    <w:rsid w:val="003934C5"/>
    <w:rsid w:val="003936DD"/>
    <w:rsid w:val="00393815"/>
    <w:rsid w:val="00393B8E"/>
    <w:rsid w:val="00393C4A"/>
    <w:rsid w:val="003940C5"/>
    <w:rsid w:val="0039465E"/>
    <w:rsid w:val="0039488D"/>
    <w:rsid w:val="00394ABE"/>
    <w:rsid w:val="00394B06"/>
    <w:rsid w:val="00394F67"/>
    <w:rsid w:val="00395030"/>
    <w:rsid w:val="00395034"/>
    <w:rsid w:val="0039511F"/>
    <w:rsid w:val="0039517A"/>
    <w:rsid w:val="0039529D"/>
    <w:rsid w:val="00395308"/>
    <w:rsid w:val="00395448"/>
    <w:rsid w:val="00395513"/>
    <w:rsid w:val="00395898"/>
    <w:rsid w:val="0039597E"/>
    <w:rsid w:val="003959CC"/>
    <w:rsid w:val="00395B28"/>
    <w:rsid w:val="00395D00"/>
    <w:rsid w:val="00395EE4"/>
    <w:rsid w:val="0039635A"/>
    <w:rsid w:val="0039696C"/>
    <w:rsid w:val="00396C26"/>
    <w:rsid w:val="00396C59"/>
    <w:rsid w:val="00397030"/>
    <w:rsid w:val="00397355"/>
    <w:rsid w:val="0039763C"/>
    <w:rsid w:val="003976AE"/>
    <w:rsid w:val="003976EC"/>
    <w:rsid w:val="0039790C"/>
    <w:rsid w:val="00397A79"/>
    <w:rsid w:val="003A00DB"/>
    <w:rsid w:val="003A0397"/>
    <w:rsid w:val="003A0583"/>
    <w:rsid w:val="003A0B7F"/>
    <w:rsid w:val="003A0FC4"/>
    <w:rsid w:val="003A18A3"/>
    <w:rsid w:val="003A19F3"/>
    <w:rsid w:val="003A1BD2"/>
    <w:rsid w:val="003A1C22"/>
    <w:rsid w:val="003A1DA5"/>
    <w:rsid w:val="003A2012"/>
    <w:rsid w:val="003A217E"/>
    <w:rsid w:val="003A2221"/>
    <w:rsid w:val="003A23F2"/>
    <w:rsid w:val="003A284D"/>
    <w:rsid w:val="003A29D2"/>
    <w:rsid w:val="003A2B9E"/>
    <w:rsid w:val="003A2DF1"/>
    <w:rsid w:val="003A375E"/>
    <w:rsid w:val="003A3770"/>
    <w:rsid w:val="003A38E9"/>
    <w:rsid w:val="003A3E6F"/>
    <w:rsid w:val="003A3F04"/>
    <w:rsid w:val="003A3F42"/>
    <w:rsid w:val="003A402D"/>
    <w:rsid w:val="003A41AA"/>
    <w:rsid w:val="003A43AD"/>
    <w:rsid w:val="003A4877"/>
    <w:rsid w:val="003A4BF0"/>
    <w:rsid w:val="003A5013"/>
    <w:rsid w:val="003A5016"/>
    <w:rsid w:val="003A5188"/>
    <w:rsid w:val="003A54B7"/>
    <w:rsid w:val="003A5695"/>
    <w:rsid w:val="003A571D"/>
    <w:rsid w:val="003A5957"/>
    <w:rsid w:val="003A5AF4"/>
    <w:rsid w:val="003A5C44"/>
    <w:rsid w:val="003A5CCF"/>
    <w:rsid w:val="003A60A8"/>
    <w:rsid w:val="003A60EE"/>
    <w:rsid w:val="003A63EA"/>
    <w:rsid w:val="003A64D1"/>
    <w:rsid w:val="003A6B34"/>
    <w:rsid w:val="003A6C20"/>
    <w:rsid w:val="003A6E21"/>
    <w:rsid w:val="003A716B"/>
    <w:rsid w:val="003A7426"/>
    <w:rsid w:val="003A7447"/>
    <w:rsid w:val="003A74A8"/>
    <w:rsid w:val="003A75B7"/>
    <w:rsid w:val="003A75D8"/>
    <w:rsid w:val="003A787B"/>
    <w:rsid w:val="003A7916"/>
    <w:rsid w:val="003A7D72"/>
    <w:rsid w:val="003A7EBD"/>
    <w:rsid w:val="003A7F52"/>
    <w:rsid w:val="003A7FD4"/>
    <w:rsid w:val="003B0045"/>
    <w:rsid w:val="003B04F1"/>
    <w:rsid w:val="003B0679"/>
    <w:rsid w:val="003B092C"/>
    <w:rsid w:val="003B09D6"/>
    <w:rsid w:val="003B0D26"/>
    <w:rsid w:val="003B0DA3"/>
    <w:rsid w:val="003B1813"/>
    <w:rsid w:val="003B1D53"/>
    <w:rsid w:val="003B1ECB"/>
    <w:rsid w:val="003B20B5"/>
    <w:rsid w:val="003B2535"/>
    <w:rsid w:val="003B2A0F"/>
    <w:rsid w:val="003B2F65"/>
    <w:rsid w:val="003B313C"/>
    <w:rsid w:val="003B3361"/>
    <w:rsid w:val="003B363D"/>
    <w:rsid w:val="003B3977"/>
    <w:rsid w:val="003B3E2A"/>
    <w:rsid w:val="003B4326"/>
    <w:rsid w:val="003B4A00"/>
    <w:rsid w:val="003B4D23"/>
    <w:rsid w:val="003B4F5B"/>
    <w:rsid w:val="003B549F"/>
    <w:rsid w:val="003B55B6"/>
    <w:rsid w:val="003B5AE2"/>
    <w:rsid w:val="003B5AEE"/>
    <w:rsid w:val="003B6174"/>
    <w:rsid w:val="003B62CD"/>
    <w:rsid w:val="003B6572"/>
    <w:rsid w:val="003B6AF3"/>
    <w:rsid w:val="003B6AFA"/>
    <w:rsid w:val="003B6B32"/>
    <w:rsid w:val="003B6CEE"/>
    <w:rsid w:val="003B6D38"/>
    <w:rsid w:val="003B6D43"/>
    <w:rsid w:val="003B6D8C"/>
    <w:rsid w:val="003B6E69"/>
    <w:rsid w:val="003B7204"/>
    <w:rsid w:val="003B76AB"/>
    <w:rsid w:val="003B7CDF"/>
    <w:rsid w:val="003C0135"/>
    <w:rsid w:val="003C0274"/>
    <w:rsid w:val="003C0C68"/>
    <w:rsid w:val="003C0F63"/>
    <w:rsid w:val="003C0FE1"/>
    <w:rsid w:val="003C10E0"/>
    <w:rsid w:val="003C1501"/>
    <w:rsid w:val="003C1676"/>
    <w:rsid w:val="003C17D0"/>
    <w:rsid w:val="003C1A06"/>
    <w:rsid w:val="003C1B97"/>
    <w:rsid w:val="003C1E2C"/>
    <w:rsid w:val="003C210F"/>
    <w:rsid w:val="003C23AF"/>
    <w:rsid w:val="003C292E"/>
    <w:rsid w:val="003C2A97"/>
    <w:rsid w:val="003C2B8C"/>
    <w:rsid w:val="003C3071"/>
    <w:rsid w:val="003C31E0"/>
    <w:rsid w:val="003C3267"/>
    <w:rsid w:val="003C332E"/>
    <w:rsid w:val="003C3352"/>
    <w:rsid w:val="003C371F"/>
    <w:rsid w:val="003C3908"/>
    <w:rsid w:val="003C39CD"/>
    <w:rsid w:val="003C39EF"/>
    <w:rsid w:val="003C3D64"/>
    <w:rsid w:val="003C3D71"/>
    <w:rsid w:val="003C3E9B"/>
    <w:rsid w:val="003C3F11"/>
    <w:rsid w:val="003C3F4B"/>
    <w:rsid w:val="003C4414"/>
    <w:rsid w:val="003C448C"/>
    <w:rsid w:val="003C4708"/>
    <w:rsid w:val="003C4BFD"/>
    <w:rsid w:val="003C4EE7"/>
    <w:rsid w:val="003C5004"/>
    <w:rsid w:val="003C5158"/>
    <w:rsid w:val="003C5336"/>
    <w:rsid w:val="003C5670"/>
    <w:rsid w:val="003C570C"/>
    <w:rsid w:val="003C5913"/>
    <w:rsid w:val="003C5D09"/>
    <w:rsid w:val="003C624A"/>
    <w:rsid w:val="003C6970"/>
    <w:rsid w:val="003C6D78"/>
    <w:rsid w:val="003C6FA5"/>
    <w:rsid w:val="003C6FA9"/>
    <w:rsid w:val="003C706D"/>
    <w:rsid w:val="003C706F"/>
    <w:rsid w:val="003C70FA"/>
    <w:rsid w:val="003C735E"/>
    <w:rsid w:val="003C73CD"/>
    <w:rsid w:val="003C7CB7"/>
    <w:rsid w:val="003C7ED7"/>
    <w:rsid w:val="003C7F71"/>
    <w:rsid w:val="003C7FAD"/>
    <w:rsid w:val="003D0099"/>
    <w:rsid w:val="003D01FD"/>
    <w:rsid w:val="003D0362"/>
    <w:rsid w:val="003D049C"/>
    <w:rsid w:val="003D0A0C"/>
    <w:rsid w:val="003D0BCB"/>
    <w:rsid w:val="003D0C18"/>
    <w:rsid w:val="003D0C1F"/>
    <w:rsid w:val="003D0E1C"/>
    <w:rsid w:val="003D17E0"/>
    <w:rsid w:val="003D1984"/>
    <w:rsid w:val="003D19EF"/>
    <w:rsid w:val="003D1A89"/>
    <w:rsid w:val="003D1AAF"/>
    <w:rsid w:val="003D1AC5"/>
    <w:rsid w:val="003D23F2"/>
    <w:rsid w:val="003D2438"/>
    <w:rsid w:val="003D24B9"/>
    <w:rsid w:val="003D28DA"/>
    <w:rsid w:val="003D2926"/>
    <w:rsid w:val="003D34C6"/>
    <w:rsid w:val="003D3672"/>
    <w:rsid w:val="003D38EF"/>
    <w:rsid w:val="003D3A2C"/>
    <w:rsid w:val="003D3B4F"/>
    <w:rsid w:val="003D3DFF"/>
    <w:rsid w:val="003D4469"/>
    <w:rsid w:val="003D45F8"/>
    <w:rsid w:val="003D480D"/>
    <w:rsid w:val="003D485D"/>
    <w:rsid w:val="003D4FF1"/>
    <w:rsid w:val="003D5895"/>
    <w:rsid w:val="003D5B2D"/>
    <w:rsid w:val="003D6081"/>
    <w:rsid w:val="003D62C0"/>
    <w:rsid w:val="003D6357"/>
    <w:rsid w:val="003D6539"/>
    <w:rsid w:val="003D6A0F"/>
    <w:rsid w:val="003D6E9F"/>
    <w:rsid w:val="003D6F3A"/>
    <w:rsid w:val="003D7314"/>
    <w:rsid w:val="003D7418"/>
    <w:rsid w:val="003D76F4"/>
    <w:rsid w:val="003D7850"/>
    <w:rsid w:val="003D7AEA"/>
    <w:rsid w:val="003D7B4C"/>
    <w:rsid w:val="003E029D"/>
    <w:rsid w:val="003E05ED"/>
    <w:rsid w:val="003E0DDD"/>
    <w:rsid w:val="003E119B"/>
    <w:rsid w:val="003E12BA"/>
    <w:rsid w:val="003E138E"/>
    <w:rsid w:val="003E1398"/>
    <w:rsid w:val="003E13B0"/>
    <w:rsid w:val="003E16A6"/>
    <w:rsid w:val="003E16E0"/>
    <w:rsid w:val="003E1BCD"/>
    <w:rsid w:val="003E1C04"/>
    <w:rsid w:val="003E1D6A"/>
    <w:rsid w:val="003E1D9D"/>
    <w:rsid w:val="003E220A"/>
    <w:rsid w:val="003E2405"/>
    <w:rsid w:val="003E2551"/>
    <w:rsid w:val="003E28BF"/>
    <w:rsid w:val="003E2CCC"/>
    <w:rsid w:val="003E2E31"/>
    <w:rsid w:val="003E2FAC"/>
    <w:rsid w:val="003E304E"/>
    <w:rsid w:val="003E3064"/>
    <w:rsid w:val="003E3156"/>
    <w:rsid w:val="003E334A"/>
    <w:rsid w:val="003E3382"/>
    <w:rsid w:val="003E35E1"/>
    <w:rsid w:val="003E3619"/>
    <w:rsid w:val="003E3641"/>
    <w:rsid w:val="003E3730"/>
    <w:rsid w:val="003E3AF3"/>
    <w:rsid w:val="003E3D15"/>
    <w:rsid w:val="003E41E1"/>
    <w:rsid w:val="003E4458"/>
    <w:rsid w:val="003E466A"/>
    <w:rsid w:val="003E49CA"/>
    <w:rsid w:val="003E4B3E"/>
    <w:rsid w:val="003E534C"/>
    <w:rsid w:val="003E5948"/>
    <w:rsid w:val="003E5A23"/>
    <w:rsid w:val="003E5D89"/>
    <w:rsid w:val="003E5FF7"/>
    <w:rsid w:val="003E6170"/>
    <w:rsid w:val="003E63FD"/>
    <w:rsid w:val="003E6457"/>
    <w:rsid w:val="003E650F"/>
    <w:rsid w:val="003E65DD"/>
    <w:rsid w:val="003E6676"/>
    <w:rsid w:val="003E6917"/>
    <w:rsid w:val="003E6927"/>
    <w:rsid w:val="003E7024"/>
    <w:rsid w:val="003E79F0"/>
    <w:rsid w:val="003E79FA"/>
    <w:rsid w:val="003E7FF4"/>
    <w:rsid w:val="003F00EA"/>
    <w:rsid w:val="003F0189"/>
    <w:rsid w:val="003F01D8"/>
    <w:rsid w:val="003F0563"/>
    <w:rsid w:val="003F0667"/>
    <w:rsid w:val="003F07B1"/>
    <w:rsid w:val="003F0C85"/>
    <w:rsid w:val="003F0D73"/>
    <w:rsid w:val="003F108A"/>
    <w:rsid w:val="003F1311"/>
    <w:rsid w:val="003F1327"/>
    <w:rsid w:val="003F18C8"/>
    <w:rsid w:val="003F1B04"/>
    <w:rsid w:val="003F1DB6"/>
    <w:rsid w:val="003F2221"/>
    <w:rsid w:val="003F24BE"/>
    <w:rsid w:val="003F27F8"/>
    <w:rsid w:val="003F29E3"/>
    <w:rsid w:val="003F2B91"/>
    <w:rsid w:val="003F2BAF"/>
    <w:rsid w:val="003F2E4D"/>
    <w:rsid w:val="003F3219"/>
    <w:rsid w:val="003F33E9"/>
    <w:rsid w:val="003F34A7"/>
    <w:rsid w:val="003F3801"/>
    <w:rsid w:val="003F3CD7"/>
    <w:rsid w:val="003F3CFB"/>
    <w:rsid w:val="003F3F98"/>
    <w:rsid w:val="003F3FBC"/>
    <w:rsid w:val="003F43E2"/>
    <w:rsid w:val="003F4433"/>
    <w:rsid w:val="003F49E6"/>
    <w:rsid w:val="003F4A59"/>
    <w:rsid w:val="003F56BE"/>
    <w:rsid w:val="003F56D4"/>
    <w:rsid w:val="003F584A"/>
    <w:rsid w:val="003F5924"/>
    <w:rsid w:val="003F5A2F"/>
    <w:rsid w:val="003F5B55"/>
    <w:rsid w:val="003F5C55"/>
    <w:rsid w:val="003F5FC5"/>
    <w:rsid w:val="003F6030"/>
    <w:rsid w:val="003F633A"/>
    <w:rsid w:val="003F655B"/>
    <w:rsid w:val="003F65DE"/>
    <w:rsid w:val="003F6C92"/>
    <w:rsid w:val="003F6CB2"/>
    <w:rsid w:val="003F6ED2"/>
    <w:rsid w:val="003F706F"/>
    <w:rsid w:val="003F70D8"/>
    <w:rsid w:val="003F7504"/>
    <w:rsid w:val="003F7812"/>
    <w:rsid w:val="003F799F"/>
    <w:rsid w:val="003F7BCF"/>
    <w:rsid w:val="003F7C3A"/>
    <w:rsid w:val="003F7CBC"/>
    <w:rsid w:val="00400270"/>
    <w:rsid w:val="004005BD"/>
    <w:rsid w:val="004006C6"/>
    <w:rsid w:val="00400744"/>
    <w:rsid w:val="004008B6"/>
    <w:rsid w:val="00400C31"/>
    <w:rsid w:val="00400E2A"/>
    <w:rsid w:val="00401249"/>
    <w:rsid w:val="00401359"/>
    <w:rsid w:val="004015EB"/>
    <w:rsid w:val="004017D1"/>
    <w:rsid w:val="00401982"/>
    <w:rsid w:val="00401F5D"/>
    <w:rsid w:val="00402289"/>
    <w:rsid w:val="0040245B"/>
    <w:rsid w:val="00402494"/>
    <w:rsid w:val="004025AB"/>
    <w:rsid w:val="00402645"/>
    <w:rsid w:val="00402B14"/>
    <w:rsid w:val="00402B3D"/>
    <w:rsid w:val="00402BD2"/>
    <w:rsid w:val="00402F8B"/>
    <w:rsid w:val="00403811"/>
    <w:rsid w:val="0040381F"/>
    <w:rsid w:val="00403BA7"/>
    <w:rsid w:val="00403D16"/>
    <w:rsid w:val="00403F8A"/>
    <w:rsid w:val="00404017"/>
    <w:rsid w:val="00404D63"/>
    <w:rsid w:val="00405255"/>
    <w:rsid w:val="004059D8"/>
    <w:rsid w:val="00405D40"/>
    <w:rsid w:val="00405E3B"/>
    <w:rsid w:val="00406311"/>
    <w:rsid w:val="00406773"/>
    <w:rsid w:val="00406A66"/>
    <w:rsid w:val="00406C82"/>
    <w:rsid w:val="0040734D"/>
    <w:rsid w:val="004074AB"/>
    <w:rsid w:val="00407503"/>
    <w:rsid w:val="004077DF"/>
    <w:rsid w:val="00407989"/>
    <w:rsid w:val="00407A05"/>
    <w:rsid w:val="00407B38"/>
    <w:rsid w:val="00407BB8"/>
    <w:rsid w:val="00407DF0"/>
    <w:rsid w:val="00407F26"/>
    <w:rsid w:val="00407F30"/>
    <w:rsid w:val="004100DF"/>
    <w:rsid w:val="004104D3"/>
    <w:rsid w:val="0041126A"/>
    <w:rsid w:val="00411427"/>
    <w:rsid w:val="0041169F"/>
    <w:rsid w:val="004118ED"/>
    <w:rsid w:val="00411A42"/>
    <w:rsid w:val="00411B56"/>
    <w:rsid w:val="0041251B"/>
    <w:rsid w:val="0041264E"/>
    <w:rsid w:val="0041294C"/>
    <w:rsid w:val="00412A5D"/>
    <w:rsid w:val="00412F1F"/>
    <w:rsid w:val="00412FCB"/>
    <w:rsid w:val="00413096"/>
    <w:rsid w:val="004131B5"/>
    <w:rsid w:val="00413383"/>
    <w:rsid w:val="0041344F"/>
    <w:rsid w:val="0041347E"/>
    <w:rsid w:val="00413625"/>
    <w:rsid w:val="004137E5"/>
    <w:rsid w:val="00413BEE"/>
    <w:rsid w:val="00413C42"/>
    <w:rsid w:val="00413CDE"/>
    <w:rsid w:val="00413DAD"/>
    <w:rsid w:val="00413E1E"/>
    <w:rsid w:val="00413E9E"/>
    <w:rsid w:val="00414258"/>
    <w:rsid w:val="00414296"/>
    <w:rsid w:val="004143FC"/>
    <w:rsid w:val="00414A64"/>
    <w:rsid w:val="00414A8B"/>
    <w:rsid w:val="00414C22"/>
    <w:rsid w:val="00414C3F"/>
    <w:rsid w:val="00414CFC"/>
    <w:rsid w:val="00414D76"/>
    <w:rsid w:val="00414D96"/>
    <w:rsid w:val="00414E85"/>
    <w:rsid w:val="00414F67"/>
    <w:rsid w:val="00415214"/>
    <w:rsid w:val="00415296"/>
    <w:rsid w:val="0041542D"/>
    <w:rsid w:val="004154C1"/>
    <w:rsid w:val="004159FF"/>
    <w:rsid w:val="00415DAE"/>
    <w:rsid w:val="004161C9"/>
    <w:rsid w:val="0041650B"/>
    <w:rsid w:val="004168FE"/>
    <w:rsid w:val="00416A98"/>
    <w:rsid w:val="00416BCF"/>
    <w:rsid w:val="004178BB"/>
    <w:rsid w:val="00417AA7"/>
    <w:rsid w:val="00417FBC"/>
    <w:rsid w:val="004203AC"/>
    <w:rsid w:val="004209B9"/>
    <w:rsid w:val="00420BAA"/>
    <w:rsid w:val="00420C13"/>
    <w:rsid w:val="00420FA7"/>
    <w:rsid w:val="00421071"/>
    <w:rsid w:val="004210D4"/>
    <w:rsid w:val="00421334"/>
    <w:rsid w:val="004213CE"/>
    <w:rsid w:val="004213EE"/>
    <w:rsid w:val="004214B9"/>
    <w:rsid w:val="0042155E"/>
    <w:rsid w:val="0042158B"/>
    <w:rsid w:val="004215BC"/>
    <w:rsid w:val="0042161F"/>
    <w:rsid w:val="0042178B"/>
    <w:rsid w:val="00421A39"/>
    <w:rsid w:val="00421AF3"/>
    <w:rsid w:val="00421C05"/>
    <w:rsid w:val="00421C42"/>
    <w:rsid w:val="00421F83"/>
    <w:rsid w:val="0042204D"/>
    <w:rsid w:val="00422104"/>
    <w:rsid w:val="004223DF"/>
    <w:rsid w:val="004224D0"/>
    <w:rsid w:val="004227D3"/>
    <w:rsid w:val="00422A68"/>
    <w:rsid w:val="0042332F"/>
    <w:rsid w:val="004233C4"/>
    <w:rsid w:val="00423437"/>
    <w:rsid w:val="00423680"/>
    <w:rsid w:val="00423AC1"/>
    <w:rsid w:val="00423BE8"/>
    <w:rsid w:val="00423D1D"/>
    <w:rsid w:val="00423F52"/>
    <w:rsid w:val="004242F7"/>
    <w:rsid w:val="004244BE"/>
    <w:rsid w:val="004247F0"/>
    <w:rsid w:val="00424962"/>
    <w:rsid w:val="00424AB6"/>
    <w:rsid w:val="00424E47"/>
    <w:rsid w:val="00425037"/>
    <w:rsid w:val="00425366"/>
    <w:rsid w:val="00425571"/>
    <w:rsid w:val="004256ED"/>
    <w:rsid w:val="004258CB"/>
    <w:rsid w:val="00425973"/>
    <w:rsid w:val="00425A07"/>
    <w:rsid w:val="00425BCC"/>
    <w:rsid w:val="00425BDB"/>
    <w:rsid w:val="00425DD1"/>
    <w:rsid w:val="00425E35"/>
    <w:rsid w:val="00425E4D"/>
    <w:rsid w:val="00425E80"/>
    <w:rsid w:val="00426A96"/>
    <w:rsid w:val="00426B54"/>
    <w:rsid w:val="00426BEB"/>
    <w:rsid w:val="00426D6C"/>
    <w:rsid w:val="004273D2"/>
    <w:rsid w:val="0042745D"/>
    <w:rsid w:val="004279F2"/>
    <w:rsid w:val="00427AEF"/>
    <w:rsid w:val="00427B96"/>
    <w:rsid w:val="00427CF2"/>
    <w:rsid w:val="004300E5"/>
    <w:rsid w:val="00430695"/>
    <w:rsid w:val="00430A8A"/>
    <w:rsid w:val="00430AA6"/>
    <w:rsid w:val="00430AA9"/>
    <w:rsid w:val="00430C98"/>
    <w:rsid w:val="00430E56"/>
    <w:rsid w:val="00431181"/>
    <w:rsid w:val="004312F3"/>
    <w:rsid w:val="0043144D"/>
    <w:rsid w:val="00431CAB"/>
    <w:rsid w:val="00431D36"/>
    <w:rsid w:val="00432803"/>
    <w:rsid w:val="00432AE4"/>
    <w:rsid w:val="00432AE7"/>
    <w:rsid w:val="00432B0D"/>
    <w:rsid w:val="00432B25"/>
    <w:rsid w:val="00433186"/>
    <w:rsid w:val="00433E00"/>
    <w:rsid w:val="004346BD"/>
    <w:rsid w:val="00434818"/>
    <w:rsid w:val="0043483C"/>
    <w:rsid w:val="004348BC"/>
    <w:rsid w:val="004348BF"/>
    <w:rsid w:val="00434AFC"/>
    <w:rsid w:val="00434CB7"/>
    <w:rsid w:val="00435284"/>
    <w:rsid w:val="0043590F"/>
    <w:rsid w:val="00435BF4"/>
    <w:rsid w:val="00435ED2"/>
    <w:rsid w:val="00435FBE"/>
    <w:rsid w:val="004365AE"/>
    <w:rsid w:val="004366F4"/>
    <w:rsid w:val="00436D1B"/>
    <w:rsid w:val="004370EC"/>
    <w:rsid w:val="00437336"/>
    <w:rsid w:val="0043764E"/>
    <w:rsid w:val="004376F5"/>
    <w:rsid w:val="00437CE5"/>
    <w:rsid w:val="00437DD4"/>
    <w:rsid w:val="00437E03"/>
    <w:rsid w:val="00437F16"/>
    <w:rsid w:val="00437F65"/>
    <w:rsid w:val="00437FA0"/>
    <w:rsid w:val="004400BF"/>
    <w:rsid w:val="00440859"/>
    <w:rsid w:val="00440880"/>
    <w:rsid w:val="00440941"/>
    <w:rsid w:val="00440A93"/>
    <w:rsid w:val="00440B1F"/>
    <w:rsid w:val="00440CEA"/>
    <w:rsid w:val="00440EFF"/>
    <w:rsid w:val="004410CA"/>
    <w:rsid w:val="0044110F"/>
    <w:rsid w:val="004413F4"/>
    <w:rsid w:val="004418C7"/>
    <w:rsid w:val="004418F2"/>
    <w:rsid w:val="0044199C"/>
    <w:rsid w:val="00441D12"/>
    <w:rsid w:val="004420EF"/>
    <w:rsid w:val="00442400"/>
    <w:rsid w:val="00442C2B"/>
    <w:rsid w:val="00443167"/>
    <w:rsid w:val="004433BC"/>
    <w:rsid w:val="00443724"/>
    <w:rsid w:val="00443C97"/>
    <w:rsid w:val="00444035"/>
    <w:rsid w:val="0044435E"/>
    <w:rsid w:val="00444407"/>
    <w:rsid w:val="00444530"/>
    <w:rsid w:val="00444904"/>
    <w:rsid w:val="00444C10"/>
    <w:rsid w:val="00444C8B"/>
    <w:rsid w:val="00444D39"/>
    <w:rsid w:val="00444F2C"/>
    <w:rsid w:val="004450E4"/>
    <w:rsid w:val="00445378"/>
    <w:rsid w:val="00445754"/>
    <w:rsid w:val="0044601C"/>
    <w:rsid w:val="0044614B"/>
    <w:rsid w:val="004463B0"/>
    <w:rsid w:val="0044650F"/>
    <w:rsid w:val="0044679C"/>
    <w:rsid w:val="00446870"/>
    <w:rsid w:val="004472FB"/>
    <w:rsid w:val="004476DC"/>
    <w:rsid w:val="00447826"/>
    <w:rsid w:val="00447F82"/>
    <w:rsid w:val="00447FB1"/>
    <w:rsid w:val="00450175"/>
    <w:rsid w:val="004507BE"/>
    <w:rsid w:val="004507DD"/>
    <w:rsid w:val="00450AED"/>
    <w:rsid w:val="00450E38"/>
    <w:rsid w:val="00450EB0"/>
    <w:rsid w:val="004513EA"/>
    <w:rsid w:val="00451493"/>
    <w:rsid w:val="0045149D"/>
    <w:rsid w:val="0045165D"/>
    <w:rsid w:val="004517C8"/>
    <w:rsid w:val="00451B61"/>
    <w:rsid w:val="00452261"/>
    <w:rsid w:val="004522B2"/>
    <w:rsid w:val="0045235D"/>
    <w:rsid w:val="00452567"/>
    <w:rsid w:val="004527C8"/>
    <w:rsid w:val="00452FC6"/>
    <w:rsid w:val="00453265"/>
    <w:rsid w:val="0045331B"/>
    <w:rsid w:val="00453612"/>
    <w:rsid w:val="0045390E"/>
    <w:rsid w:val="00453935"/>
    <w:rsid w:val="00453C54"/>
    <w:rsid w:val="004542CD"/>
    <w:rsid w:val="0045434C"/>
    <w:rsid w:val="0045474F"/>
    <w:rsid w:val="004547B0"/>
    <w:rsid w:val="00454937"/>
    <w:rsid w:val="00454949"/>
    <w:rsid w:val="00454971"/>
    <w:rsid w:val="004549FB"/>
    <w:rsid w:val="00454A6C"/>
    <w:rsid w:val="00455211"/>
    <w:rsid w:val="004552BC"/>
    <w:rsid w:val="0045545C"/>
    <w:rsid w:val="004555D2"/>
    <w:rsid w:val="00455793"/>
    <w:rsid w:val="004558B4"/>
    <w:rsid w:val="00455E86"/>
    <w:rsid w:val="0045604C"/>
    <w:rsid w:val="00456439"/>
    <w:rsid w:val="00456594"/>
    <w:rsid w:val="004566FC"/>
    <w:rsid w:val="00456837"/>
    <w:rsid w:val="004569A3"/>
    <w:rsid w:val="00456E53"/>
    <w:rsid w:val="00456F61"/>
    <w:rsid w:val="00457080"/>
    <w:rsid w:val="004571BE"/>
    <w:rsid w:val="00457A4A"/>
    <w:rsid w:val="00457A4F"/>
    <w:rsid w:val="00457C8B"/>
    <w:rsid w:val="00457FB1"/>
    <w:rsid w:val="00457FC2"/>
    <w:rsid w:val="004602B6"/>
    <w:rsid w:val="004608A8"/>
    <w:rsid w:val="004608D3"/>
    <w:rsid w:val="00461120"/>
    <w:rsid w:val="004611C9"/>
    <w:rsid w:val="004611FF"/>
    <w:rsid w:val="00461607"/>
    <w:rsid w:val="00461668"/>
    <w:rsid w:val="004625A5"/>
    <w:rsid w:val="00462706"/>
    <w:rsid w:val="004628E5"/>
    <w:rsid w:val="004630AB"/>
    <w:rsid w:val="004636DE"/>
    <w:rsid w:val="00463720"/>
    <w:rsid w:val="00463A16"/>
    <w:rsid w:val="00463AF1"/>
    <w:rsid w:val="004646C3"/>
    <w:rsid w:val="0046483D"/>
    <w:rsid w:val="00464A10"/>
    <w:rsid w:val="00464C7A"/>
    <w:rsid w:val="00464EDF"/>
    <w:rsid w:val="004656A3"/>
    <w:rsid w:val="004657D4"/>
    <w:rsid w:val="00465A22"/>
    <w:rsid w:val="00465B05"/>
    <w:rsid w:val="00465CE6"/>
    <w:rsid w:val="00465DBA"/>
    <w:rsid w:val="00465E8A"/>
    <w:rsid w:val="00466094"/>
    <w:rsid w:val="004662EB"/>
    <w:rsid w:val="00466457"/>
    <w:rsid w:val="0046646D"/>
    <w:rsid w:val="004664FE"/>
    <w:rsid w:val="00466513"/>
    <w:rsid w:val="004665A1"/>
    <w:rsid w:val="00466693"/>
    <w:rsid w:val="00466721"/>
    <w:rsid w:val="00466AF8"/>
    <w:rsid w:val="00466C97"/>
    <w:rsid w:val="0046700B"/>
    <w:rsid w:val="004672B8"/>
    <w:rsid w:val="00467330"/>
    <w:rsid w:val="004674F9"/>
    <w:rsid w:val="004675F8"/>
    <w:rsid w:val="00467A0F"/>
    <w:rsid w:val="00467D5D"/>
    <w:rsid w:val="0047001C"/>
    <w:rsid w:val="0047004B"/>
    <w:rsid w:val="004701D3"/>
    <w:rsid w:val="004703CD"/>
    <w:rsid w:val="004708A6"/>
    <w:rsid w:val="00470954"/>
    <w:rsid w:val="004709B8"/>
    <w:rsid w:val="00470F97"/>
    <w:rsid w:val="00471059"/>
    <w:rsid w:val="0047106B"/>
    <w:rsid w:val="004711A1"/>
    <w:rsid w:val="004714A9"/>
    <w:rsid w:val="0047193B"/>
    <w:rsid w:val="00471C50"/>
    <w:rsid w:val="00471C57"/>
    <w:rsid w:val="00471D74"/>
    <w:rsid w:val="0047203B"/>
    <w:rsid w:val="0047237D"/>
    <w:rsid w:val="0047247E"/>
    <w:rsid w:val="004724C4"/>
    <w:rsid w:val="00472D72"/>
    <w:rsid w:val="004739C0"/>
    <w:rsid w:val="00473B1A"/>
    <w:rsid w:val="00473E38"/>
    <w:rsid w:val="00474346"/>
    <w:rsid w:val="004743EB"/>
    <w:rsid w:val="00474777"/>
    <w:rsid w:val="00474956"/>
    <w:rsid w:val="00474D87"/>
    <w:rsid w:val="00474EFC"/>
    <w:rsid w:val="00474F40"/>
    <w:rsid w:val="0047527B"/>
    <w:rsid w:val="00475349"/>
    <w:rsid w:val="00475B73"/>
    <w:rsid w:val="00476114"/>
    <w:rsid w:val="0047631E"/>
    <w:rsid w:val="004767F2"/>
    <w:rsid w:val="00476996"/>
    <w:rsid w:val="00476C13"/>
    <w:rsid w:val="00476D36"/>
    <w:rsid w:val="00477069"/>
    <w:rsid w:val="00477091"/>
    <w:rsid w:val="004770A8"/>
    <w:rsid w:val="004771D3"/>
    <w:rsid w:val="004776D9"/>
    <w:rsid w:val="004778A2"/>
    <w:rsid w:val="004779CD"/>
    <w:rsid w:val="00477BF1"/>
    <w:rsid w:val="00477C24"/>
    <w:rsid w:val="00480031"/>
    <w:rsid w:val="0048028B"/>
    <w:rsid w:val="004805AD"/>
    <w:rsid w:val="00480BFA"/>
    <w:rsid w:val="00480C4D"/>
    <w:rsid w:val="0048105D"/>
    <w:rsid w:val="0048152B"/>
    <w:rsid w:val="0048183C"/>
    <w:rsid w:val="00481BBD"/>
    <w:rsid w:val="00481BE2"/>
    <w:rsid w:val="00481CE3"/>
    <w:rsid w:val="00481F0A"/>
    <w:rsid w:val="00481FF0"/>
    <w:rsid w:val="0048231C"/>
    <w:rsid w:val="00482328"/>
    <w:rsid w:val="004826D8"/>
    <w:rsid w:val="00482838"/>
    <w:rsid w:val="00482AA0"/>
    <w:rsid w:val="00483752"/>
    <w:rsid w:val="004837A8"/>
    <w:rsid w:val="00483B61"/>
    <w:rsid w:val="00483CBD"/>
    <w:rsid w:val="00483EF5"/>
    <w:rsid w:val="00484197"/>
    <w:rsid w:val="00484C07"/>
    <w:rsid w:val="00484F97"/>
    <w:rsid w:val="0048518C"/>
    <w:rsid w:val="004856A0"/>
    <w:rsid w:val="00485D5A"/>
    <w:rsid w:val="00485F31"/>
    <w:rsid w:val="004860D7"/>
    <w:rsid w:val="0048617C"/>
    <w:rsid w:val="0048662E"/>
    <w:rsid w:val="004866B4"/>
    <w:rsid w:val="00486923"/>
    <w:rsid w:val="00486FCE"/>
    <w:rsid w:val="00487013"/>
    <w:rsid w:val="00487038"/>
    <w:rsid w:val="004872B0"/>
    <w:rsid w:val="0048734E"/>
    <w:rsid w:val="00487A5E"/>
    <w:rsid w:val="004900BE"/>
    <w:rsid w:val="0049030B"/>
    <w:rsid w:val="00490865"/>
    <w:rsid w:val="00490991"/>
    <w:rsid w:val="00490C33"/>
    <w:rsid w:val="00490DB5"/>
    <w:rsid w:val="00490E27"/>
    <w:rsid w:val="00490E64"/>
    <w:rsid w:val="00491267"/>
    <w:rsid w:val="004913E5"/>
    <w:rsid w:val="004915D5"/>
    <w:rsid w:val="004915F2"/>
    <w:rsid w:val="004916C7"/>
    <w:rsid w:val="00491ADE"/>
    <w:rsid w:val="00491D73"/>
    <w:rsid w:val="00491DB7"/>
    <w:rsid w:val="00492649"/>
    <w:rsid w:val="004927F0"/>
    <w:rsid w:val="00492B04"/>
    <w:rsid w:val="00492E64"/>
    <w:rsid w:val="0049307B"/>
    <w:rsid w:val="004931DC"/>
    <w:rsid w:val="00493624"/>
    <w:rsid w:val="004936A0"/>
    <w:rsid w:val="00493764"/>
    <w:rsid w:val="00493B53"/>
    <w:rsid w:val="00493B74"/>
    <w:rsid w:val="00493C19"/>
    <w:rsid w:val="00493CC2"/>
    <w:rsid w:val="00493E1A"/>
    <w:rsid w:val="004941EB"/>
    <w:rsid w:val="004943F5"/>
    <w:rsid w:val="00494422"/>
    <w:rsid w:val="004945E1"/>
    <w:rsid w:val="00494BFE"/>
    <w:rsid w:val="00494F8B"/>
    <w:rsid w:val="004952B2"/>
    <w:rsid w:val="00495976"/>
    <w:rsid w:val="00495CF4"/>
    <w:rsid w:val="00495D24"/>
    <w:rsid w:val="00495E42"/>
    <w:rsid w:val="00496313"/>
    <w:rsid w:val="0049671F"/>
    <w:rsid w:val="004967CD"/>
    <w:rsid w:val="004968B7"/>
    <w:rsid w:val="004969CE"/>
    <w:rsid w:val="004969F7"/>
    <w:rsid w:val="00496AEB"/>
    <w:rsid w:val="00496DB8"/>
    <w:rsid w:val="0049726E"/>
    <w:rsid w:val="0049735A"/>
    <w:rsid w:val="0049759D"/>
    <w:rsid w:val="004975C5"/>
    <w:rsid w:val="00497643"/>
    <w:rsid w:val="0049776D"/>
    <w:rsid w:val="00497CD4"/>
    <w:rsid w:val="004A0321"/>
    <w:rsid w:val="004A0445"/>
    <w:rsid w:val="004A09AE"/>
    <w:rsid w:val="004A0FC8"/>
    <w:rsid w:val="004A105F"/>
    <w:rsid w:val="004A1176"/>
    <w:rsid w:val="004A150D"/>
    <w:rsid w:val="004A1629"/>
    <w:rsid w:val="004A167D"/>
    <w:rsid w:val="004A1990"/>
    <w:rsid w:val="004A2386"/>
    <w:rsid w:val="004A24EF"/>
    <w:rsid w:val="004A2673"/>
    <w:rsid w:val="004A2CA4"/>
    <w:rsid w:val="004A2DD9"/>
    <w:rsid w:val="004A2EF1"/>
    <w:rsid w:val="004A37D5"/>
    <w:rsid w:val="004A3809"/>
    <w:rsid w:val="004A382E"/>
    <w:rsid w:val="004A3C1A"/>
    <w:rsid w:val="004A3C4E"/>
    <w:rsid w:val="004A3E5D"/>
    <w:rsid w:val="004A3FF5"/>
    <w:rsid w:val="004A4928"/>
    <w:rsid w:val="004A4B02"/>
    <w:rsid w:val="004A4E75"/>
    <w:rsid w:val="004A5232"/>
    <w:rsid w:val="004A52C9"/>
    <w:rsid w:val="004A52E9"/>
    <w:rsid w:val="004A5363"/>
    <w:rsid w:val="004A5471"/>
    <w:rsid w:val="004A587C"/>
    <w:rsid w:val="004A5AA8"/>
    <w:rsid w:val="004A6395"/>
    <w:rsid w:val="004A65AC"/>
    <w:rsid w:val="004A65AF"/>
    <w:rsid w:val="004A6EEF"/>
    <w:rsid w:val="004A7038"/>
    <w:rsid w:val="004A736A"/>
    <w:rsid w:val="004A7D21"/>
    <w:rsid w:val="004A7FD5"/>
    <w:rsid w:val="004B02B0"/>
    <w:rsid w:val="004B1168"/>
    <w:rsid w:val="004B13FE"/>
    <w:rsid w:val="004B1441"/>
    <w:rsid w:val="004B15A3"/>
    <w:rsid w:val="004B1A9A"/>
    <w:rsid w:val="004B1FE6"/>
    <w:rsid w:val="004B21BC"/>
    <w:rsid w:val="004B2409"/>
    <w:rsid w:val="004B243C"/>
    <w:rsid w:val="004B296B"/>
    <w:rsid w:val="004B2EB1"/>
    <w:rsid w:val="004B3124"/>
    <w:rsid w:val="004B31D0"/>
    <w:rsid w:val="004B3397"/>
    <w:rsid w:val="004B35BB"/>
    <w:rsid w:val="004B3743"/>
    <w:rsid w:val="004B4069"/>
    <w:rsid w:val="004B42A7"/>
    <w:rsid w:val="004B49D4"/>
    <w:rsid w:val="004B4B77"/>
    <w:rsid w:val="004B4BFC"/>
    <w:rsid w:val="004B4D09"/>
    <w:rsid w:val="004B4EF5"/>
    <w:rsid w:val="004B5D95"/>
    <w:rsid w:val="004B5F5F"/>
    <w:rsid w:val="004B62C4"/>
    <w:rsid w:val="004B63B6"/>
    <w:rsid w:val="004B654B"/>
    <w:rsid w:val="004B6632"/>
    <w:rsid w:val="004B69F5"/>
    <w:rsid w:val="004B6AE5"/>
    <w:rsid w:val="004B6C86"/>
    <w:rsid w:val="004B6DAB"/>
    <w:rsid w:val="004B6DBD"/>
    <w:rsid w:val="004B72E4"/>
    <w:rsid w:val="004B79F8"/>
    <w:rsid w:val="004B7CBD"/>
    <w:rsid w:val="004C002F"/>
    <w:rsid w:val="004C0101"/>
    <w:rsid w:val="004C0107"/>
    <w:rsid w:val="004C015A"/>
    <w:rsid w:val="004C036D"/>
    <w:rsid w:val="004C066C"/>
    <w:rsid w:val="004C06D7"/>
    <w:rsid w:val="004C0739"/>
    <w:rsid w:val="004C0A9B"/>
    <w:rsid w:val="004C0CB3"/>
    <w:rsid w:val="004C1405"/>
    <w:rsid w:val="004C1A60"/>
    <w:rsid w:val="004C1BA1"/>
    <w:rsid w:val="004C1D58"/>
    <w:rsid w:val="004C2184"/>
    <w:rsid w:val="004C2753"/>
    <w:rsid w:val="004C30EC"/>
    <w:rsid w:val="004C31E7"/>
    <w:rsid w:val="004C31F3"/>
    <w:rsid w:val="004C32DD"/>
    <w:rsid w:val="004C32EB"/>
    <w:rsid w:val="004C40CC"/>
    <w:rsid w:val="004C42E2"/>
    <w:rsid w:val="004C4401"/>
    <w:rsid w:val="004C4BC7"/>
    <w:rsid w:val="004C4C0B"/>
    <w:rsid w:val="004C4CAD"/>
    <w:rsid w:val="004C4EA2"/>
    <w:rsid w:val="004C55A1"/>
    <w:rsid w:val="004C5994"/>
    <w:rsid w:val="004C6145"/>
    <w:rsid w:val="004C61B7"/>
    <w:rsid w:val="004C6243"/>
    <w:rsid w:val="004C62E8"/>
    <w:rsid w:val="004C6324"/>
    <w:rsid w:val="004C69F7"/>
    <w:rsid w:val="004C6CD5"/>
    <w:rsid w:val="004C6D16"/>
    <w:rsid w:val="004C7062"/>
    <w:rsid w:val="004C740B"/>
    <w:rsid w:val="004C78BF"/>
    <w:rsid w:val="004D035A"/>
    <w:rsid w:val="004D03AF"/>
    <w:rsid w:val="004D0574"/>
    <w:rsid w:val="004D0670"/>
    <w:rsid w:val="004D0831"/>
    <w:rsid w:val="004D0F8D"/>
    <w:rsid w:val="004D105F"/>
    <w:rsid w:val="004D10F7"/>
    <w:rsid w:val="004D1143"/>
    <w:rsid w:val="004D13B1"/>
    <w:rsid w:val="004D16E0"/>
    <w:rsid w:val="004D1B84"/>
    <w:rsid w:val="004D1D7A"/>
    <w:rsid w:val="004D1DB0"/>
    <w:rsid w:val="004D217A"/>
    <w:rsid w:val="004D22CD"/>
    <w:rsid w:val="004D23F8"/>
    <w:rsid w:val="004D2409"/>
    <w:rsid w:val="004D26E0"/>
    <w:rsid w:val="004D26FF"/>
    <w:rsid w:val="004D282B"/>
    <w:rsid w:val="004D29EB"/>
    <w:rsid w:val="004D2E9E"/>
    <w:rsid w:val="004D302B"/>
    <w:rsid w:val="004D370E"/>
    <w:rsid w:val="004D3C13"/>
    <w:rsid w:val="004D3C49"/>
    <w:rsid w:val="004D3CA9"/>
    <w:rsid w:val="004D4077"/>
    <w:rsid w:val="004D407B"/>
    <w:rsid w:val="004D4207"/>
    <w:rsid w:val="004D436C"/>
    <w:rsid w:val="004D43F8"/>
    <w:rsid w:val="004D4522"/>
    <w:rsid w:val="004D486B"/>
    <w:rsid w:val="004D4A75"/>
    <w:rsid w:val="004D4B1A"/>
    <w:rsid w:val="004D4BAF"/>
    <w:rsid w:val="004D51FE"/>
    <w:rsid w:val="004D52FC"/>
    <w:rsid w:val="004D581D"/>
    <w:rsid w:val="004D5829"/>
    <w:rsid w:val="004D58BA"/>
    <w:rsid w:val="004D598B"/>
    <w:rsid w:val="004D5E2B"/>
    <w:rsid w:val="004D6300"/>
    <w:rsid w:val="004D66F4"/>
    <w:rsid w:val="004D6787"/>
    <w:rsid w:val="004D6A65"/>
    <w:rsid w:val="004D73FB"/>
    <w:rsid w:val="004D76B4"/>
    <w:rsid w:val="004D777E"/>
    <w:rsid w:val="004D7879"/>
    <w:rsid w:val="004D7BDB"/>
    <w:rsid w:val="004D7C05"/>
    <w:rsid w:val="004D7C70"/>
    <w:rsid w:val="004D7E67"/>
    <w:rsid w:val="004E01F0"/>
    <w:rsid w:val="004E0245"/>
    <w:rsid w:val="004E0261"/>
    <w:rsid w:val="004E0815"/>
    <w:rsid w:val="004E0C1D"/>
    <w:rsid w:val="004E0C3A"/>
    <w:rsid w:val="004E0DC4"/>
    <w:rsid w:val="004E0F7F"/>
    <w:rsid w:val="004E0FBE"/>
    <w:rsid w:val="004E0FF1"/>
    <w:rsid w:val="004E1250"/>
    <w:rsid w:val="004E13D6"/>
    <w:rsid w:val="004E1497"/>
    <w:rsid w:val="004E1EE0"/>
    <w:rsid w:val="004E1F7C"/>
    <w:rsid w:val="004E2306"/>
    <w:rsid w:val="004E27E7"/>
    <w:rsid w:val="004E2B24"/>
    <w:rsid w:val="004E2BDF"/>
    <w:rsid w:val="004E2F6A"/>
    <w:rsid w:val="004E31C3"/>
    <w:rsid w:val="004E3201"/>
    <w:rsid w:val="004E3753"/>
    <w:rsid w:val="004E387B"/>
    <w:rsid w:val="004E3A66"/>
    <w:rsid w:val="004E4248"/>
    <w:rsid w:val="004E4320"/>
    <w:rsid w:val="004E436C"/>
    <w:rsid w:val="004E451E"/>
    <w:rsid w:val="004E4845"/>
    <w:rsid w:val="004E4C50"/>
    <w:rsid w:val="004E4D68"/>
    <w:rsid w:val="004E4E5F"/>
    <w:rsid w:val="004E4E93"/>
    <w:rsid w:val="004E51B2"/>
    <w:rsid w:val="004E5851"/>
    <w:rsid w:val="004E5F7C"/>
    <w:rsid w:val="004E6072"/>
    <w:rsid w:val="004E636A"/>
    <w:rsid w:val="004E6648"/>
    <w:rsid w:val="004E684A"/>
    <w:rsid w:val="004E6B86"/>
    <w:rsid w:val="004E6BF5"/>
    <w:rsid w:val="004E6C49"/>
    <w:rsid w:val="004E6ED2"/>
    <w:rsid w:val="004E7364"/>
    <w:rsid w:val="004E76A6"/>
    <w:rsid w:val="004E770E"/>
    <w:rsid w:val="004E7A5B"/>
    <w:rsid w:val="004E7A91"/>
    <w:rsid w:val="004E7B7C"/>
    <w:rsid w:val="004E7BF4"/>
    <w:rsid w:val="004E7C78"/>
    <w:rsid w:val="004E7CFE"/>
    <w:rsid w:val="004E7D08"/>
    <w:rsid w:val="004E7D8A"/>
    <w:rsid w:val="004F01FB"/>
    <w:rsid w:val="004F02D9"/>
    <w:rsid w:val="004F0486"/>
    <w:rsid w:val="004F05EB"/>
    <w:rsid w:val="004F0889"/>
    <w:rsid w:val="004F0B10"/>
    <w:rsid w:val="004F0F5E"/>
    <w:rsid w:val="004F14D0"/>
    <w:rsid w:val="004F1797"/>
    <w:rsid w:val="004F18C7"/>
    <w:rsid w:val="004F1BD0"/>
    <w:rsid w:val="004F227A"/>
    <w:rsid w:val="004F25F4"/>
    <w:rsid w:val="004F2669"/>
    <w:rsid w:val="004F274B"/>
    <w:rsid w:val="004F2906"/>
    <w:rsid w:val="004F2A7A"/>
    <w:rsid w:val="004F2AD1"/>
    <w:rsid w:val="004F3085"/>
    <w:rsid w:val="004F3156"/>
    <w:rsid w:val="004F32DA"/>
    <w:rsid w:val="004F3B36"/>
    <w:rsid w:val="004F3CF7"/>
    <w:rsid w:val="004F3DA4"/>
    <w:rsid w:val="004F3DA9"/>
    <w:rsid w:val="004F438E"/>
    <w:rsid w:val="004F45ED"/>
    <w:rsid w:val="004F49E8"/>
    <w:rsid w:val="004F4C2A"/>
    <w:rsid w:val="004F4DC3"/>
    <w:rsid w:val="004F53B3"/>
    <w:rsid w:val="004F592B"/>
    <w:rsid w:val="004F5A7A"/>
    <w:rsid w:val="004F5C1F"/>
    <w:rsid w:val="004F5CEC"/>
    <w:rsid w:val="004F60B3"/>
    <w:rsid w:val="004F60ED"/>
    <w:rsid w:val="004F6190"/>
    <w:rsid w:val="004F65D9"/>
    <w:rsid w:val="004F6759"/>
    <w:rsid w:val="004F6C2A"/>
    <w:rsid w:val="004F6E54"/>
    <w:rsid w:val="004F71DD"/>
    <w:rsid w:val="004F7427"/>
    <w:rsid w:val="004F74CC"/>
    <w:rsid w:val="004F74FA"/>
    <w:rsid w:val="004F753A"/>
    <w:rsid w:val="004F7787"/>
    <w:rsid w:val="004F7DCC"/>
    <w:rsid w:val="004F7E8E"/>
    <w:rsid w:val="005006E4"/>
    <w:rsid w:val="00500C86"/>
    <w:rsid w:val="00500D04"/>
    <w:rsid w:val="00501038"/>
    <w:rsid w:val="00501596"/>
    <w:rsid w:val="005015CF"/>
    <w:rsid w:val="00501ACD"/>
    <w:rsid w:val="00501AD1"/>
    <w:rsid w:val="00501D9A"/>
    <w:rsid w:val="0050274C"/>
    <w:rsid w:val="00502B94"/>
    <w:rsid w:val="00502CFE"/>
    <w:rsid w:val="005030D4"/>
    <w:rsid w:val="0050311E"/>
    <w:rsid w:val="00503A2E"/>
    <w:rsid w:val="00503AE2"/>
    <w:rsid w:val="00503D93"/>
    <w:rsid w:val="005045F3"/>
    <w:rsid w:val="00504754"/>
    <w:rsid w:val="00504912"/>
    <w:rsid w:val="00504C43"/>
    <w:rsid w:val="00504DB8"/>
    <w:rsid w:val="00505155"/>
    <w:rsid w:val="005056B0"/>
    <w:rsid w:val="00505746"/>
    <w:rsid w:val="00505F87"/>
    <w:rsid w:val="005067E9"/>
    <w:rsid w:val="00506A6D"/>
    <w:rsid w:val="00506F16"/>
    <w:rsid w:val="00506F90"/>
    <w:rsid w:val="00507252"/>
    <w:rsid w:val="005076E8"/>
    <w:rsid w:val="005078E0"/>
    <w:rsid w:val="005079D8"/>
    <w:rsid w:val="00507E8E"/>
    <w:rsid w:val="0051003E"/>
    <w:rsid w:val="005101F5"/>
    <w:rsid w:val="005102F0"/>
    <w:rsid w:val="00510426"/>
    <w:rsid w:val="00510CE1"/>
    <w:rsid w:val="00511013"/>
    <w:rsid w:val="00511319"/>
    <w:rsid w:val="00511417"/>
    <w:rsid w:val="00511C9B"/>
    <w:rsid w:val="00511D77"/>
    <w:rsid w:val="00511F8C"/>
    <w:rsid w:val="00512580"/>
    <w:rsid w:val="005125EE"/>
    <w:rsid w:val="00512718"/>
    <w:rsid w:val="0051272C"/>
    <w:rsid w:val="00512C5B"/>
    <w:rsid w:val="005135F6"/>
    <w:rsid w:val="00513883"/>
    <w:rsid w:val="0051398C"/>
    <w:rsid w:val="00513A33"/>
    <w:rsid w:val="00513BA9"/>
    <w:rsid w:val="00513C51"/>
    <w:rsid w:val="00513C97"/>
    <w:rsid w:val="00513FA2"/>
    <w:rsid w:val="005140B3"/>
    <w:rsid w:val="005140D9"/>
    <w:rsid w:val="00514256"/>
    <w:rsid w:val="0051457B"/>
    <w:rsid w:val="005145B2"/>
    <w:rsid w:val="005146A4"/>
    <w:rsid w:val="005148A5"/>
    <w:rsid w:val="00514AA4"/>
    <w:rsid w:val="005152E3"/>
    <w:rsid w:val="00515A55"/>
    <w:rsid w:val="00515AE4"/>
    <w:rsid w:val="0051605D"/>
    <w:rsid w:val="005160CF"/>
    <w:rsid w:val="005160E2"/>
    <w:rsid w:val="0051645C"/>
    <w:rsid w:val="00516A67"/>
    <w:rsid w:val="00516A7B"/>
    <w:rsid w:val="00516B77"/>
    <w:rsid w:val="00516D14"/>
    <w:rsid w:val="00517FD2"/>
    <w:rsid w:val="005204BA"/>
    <w:rsid w:val="00520B5F"/>
    <w:rsid w:val="00520CC6"/>
    <w:rsid w:val="00521207"/>
    <w:rsid w:val="00521341"/>
    <w:rsid w:val="00521465"/>
    <w:rsid w:val="00521650"/>
    <w:rsid w:val="005218CE"/>
    <w:rsid w:val="005219C8"/>
    <w:rsid w:val="00521B66"/>
    <w:rsid w:val="00521CE1"/>
    <w:rsid w:val="00521D3D"/>
    <w:rsid w:val="00522018"/>
    <w:rsid w:val="005220D2"/>
    <w:rsid w:val="00522400"/>
    <w:rsid w:val="0052304D"/>
    <w:rsid w:val="00523152"/>
    <w:rsid w:val="00523251"/>
    <w:rsid w:val="00523757"/>
    <w:rsid w:val="005239C2"/>
    <w:rsid w:val="00523B69"/>
    <w:rsid w:val="00523E9D"/>
    <w:rsid w:val="00523F7A"/>
    <w:rsid w:val="00524188"/>
    <w:rsid w:val="005245BE"/>
    <w:rsid w:val="00524774"/>
    <w:rsid w:val="0052497B"/>
    <w:rsid w:val="00524DB3"/>
    <w:rsid w:val="00524EB0"/>
    <w:rsid w:val="00524F05"/>
    <w:rsid w:val="00525893"/>
    <w:rsid w:val="00525939"/>
    <w:rsid w:val="00525AB6"/>
    <w:rsid w:val="00525CCE"/>
    <w:rsid w:val="00525DB8"/>
    <w:rsid w:val="0052608E"/>
    <w:rsid w:val="00526220"/>
    <w:rsid w:val="005264DA"/>
    <w:rsid w:val="00526695"/>
    <w:rsid w:val="00526A86"/>
    <w:rsid w:val="00526AA3"/>
    <w:rsid w:val="00526DD2"/>
    <w:rsid w:val="00526E1A"/>
    <w:rsid w:val="005270AA"/>
    <w:rsid w:val="00527199"/>
    <w:rsid w:val="0052724B"/>
    <w:rsid w:val="0052755A"/>
    <w:rsid w:val="0052758B"/>
    <w:rsid w:val="00527852"/>
    <w:rsid w:val="00527D3B"/>
    <w:rsid w:val="005308F8"/>
    <w:rsid w:val="00530E5C"/>
    <w:rsid w:val="00531030"/>
    <w:rsid w:val="005317D0"/>
    <w:rsid w:val="00531940"/>
    <w:rsid w:val="00531952"/>
    <w:rsid w:val="00531A76"/>
    <w:rsid w:val="00531EA4"/>
    <w:rsid w:val="00532341"/>
    <w:rsid w:val="0053237C"/>
    <w:rsid w:val="005325D0"/>
    <w:rsid w:val="0053272C"/>
    <w:rsid w:val="0053289D"/>
    <w:rsid w:val="005329FF"/>
    <w:rsid w:val="00532A27"/>
    <w:rsid w:val="00532E9D"/>
    <w:rsid w:val="005334C2"/>
    <w:rsid w:val="005337A7"/>
    <w:rsid w:val="005337C5"/>
    <w:rsid w:val="00533AB7"/>
    <w:rsid w:val="00533C6B"/>
    <w:rsid w:val="005342F5"/>
    <w:rsid w:val="005347AA"/>
    <w:rsid w:val="00534816"/>
    <w:rsid w:val="00535193"/>
    <w:rsid w:val="0053546D"/>
    <w:rsid w:val="005354C8"/>
    <w:rsid w:val="00535619"/>
    <w:rsid w:val="0053576B"/>
    <w:rsid w:val="00535AC2"/>
    <w:rsid w:val="00535B6A"/>
    <w:rsid w:val="00535C9C"/>
    <w:rsid w:val="0053601E"/>
    <w:rsid w:val="005362E5"/>
    <w:rsid w:val="00536320"/>
    <w:rsid w:val="00536406"/>
    <w:rsid w:val="00536B09"/>
    <w:rsid w:val="00536B5C"/>
    <w:rsid w:val="0053702C"/>
    <w:rsid w:val="00537131"/>
    <w:rsid w:val="00537A86"/>
    <w:rsid w:val="00537C0F"/>
    <w:rsid w:val="00537D44"/>
    <w:rsid w:val="005402E2"/>
    <w:rsid w:val="0054083E"/>
    <w:rsid w:val="00540C91"/>
    <w:rsid w:val="00540D8C"/>
    <w:rsid w:val="00540EDF"/>
    <w:rsid w:val="00540FE2"/>
    <w:rsid w:val="005412BE"/>
    <w:rsid w:val="005414EF"/>
    <w:rsid w:val="00541957"/>
    <w:rsid w:val="00542233"/>
    <w:rsid w:val="00542408"/>
    <w:rsid w:val="00542702"/>
    <w:rsid w:val="0054288C"/>
    <w:rsid w:val="00542AB4"/>
    <w:rsid w:val="00542B64"/>
    <w:rsid w:val="00542F04"/>
    <w:rsid w:val="0054316C"/>
    <w:rsid w:val="00543212"/>
    <w:rsid w:val="00543222"/>
    <w:rsid w:val="00543260"/>
    <w:rsid w:val="0054345A"/>
    <w:rsid w:val="0054367B"/>
    <w:rsid w:val="00543797"/>
    <w:rsid w:val="00543809"/>
    <w:rsid w:val="00543C53"/>
    <w:rsid w:val="0054431E"/>
    <w:rsid w:val="005445BC"/>
    <w:rsid w:val="00544D0C"/>
    <w:rsid w:val="00544F2D"/>
    <w:rsid w:val="00545209"/>
    <w:rsid w:val="00545517"/>
    <w:rsid w:val="00545668"/>
    <w:rsid w:val="00545EC5"/>
    <w:rsid w:val="00545FFA"/>
    <w:rsid w:val="005462F8"/>
    <w:rsid w:val="005463C5"/>
    <w:rsid w:val="00546C86"/>
    <w:rsid w:val="00547163"/>
    <w:rsid w:val="005471BF"/>
    <w:rsid w:val="005476E9"/>
    <w:rsid w:val="005478B9"/>
    <w:rsid w:val="0054799A"/>
    <w:rsid w:val="00547A72"/>
    <w:rsid w:val="00550399"/>
    <w:rsid w:val="005503AB"/>
    <w:rsid w:val="005508BE"/>
    <w:rsid w:val="00550A68"/>
    <w:rsid w:val="00550ADD"/>
    <w:rsid w:val="00550B54"/>
    <w:rsid w:val="00550DDE"/>
    <w:rsid w:val="00550E03"/>
    <w:rsid w:val="0055115A"/>
    <w:rsid w:val="00551190"/>
    <w:rsid w:val="005511A3"/>
    <w:rsid w:val="00551498"/>
    <w:rsid w:val="00551B76"/>
    <w:rsid w:val="00551F3D"/>
    <w:rsid w:val="005520EF"/>
    <w:rsid w:val="005525C8"/>
    <w:rsid w:val="005526AE"/>
    <w:rsid w:val="00552B53"/>
    <w:rsid w:val="00552D8C"/>
    <w:rsid w:val="00552E8D"/>
    <w:rsid w:val="00552ED1"/>
    <w:rsid w:val="0055344A"/>
    <w:rsid w:val="0055375F"/>
    <w:rsid w:val="00553899"/>
    <w:rsid w:val="005539D1"/>
    <w:rsid w:val="00553AD5"/>
    <w:rsid w:val="00553B5F"/>
    <w:rsid w:val="00553B8A"/>
    <w:rsid w:val="00553F94"/>
    <w:rsid w:val="005541CD"/>
    <w:rsid w:val="0055430A"/>
    <w:rsid w:val="0055432C"/>
    <w:rsid w:val="005543CB"/>
    <w:rsid w:val="00554476"/>
    <w:rsid w:val="0055477E"/>
    <w:rsid w:val="0055487D"/>
    <w:rsid w:val="00554B7A"/>
    <w:rsid w:val="00554C08"/>
    <w:rsid w:val="00554D26"/>
    <w:rsid w:val="00554D9C"/>
    <w:rsid w:val="0055514A"/>
    <w:rsid w:val="00555356"/>
    <w:rsid w:val="00555629"/>
    <w:rsid w:val="0055594B"/>
    <w:rsid w:val="0055598C"/>
    <w:rsid w:val="00555A06"/>
    <w:rsid w:val="00555AAD"/>
    <w:rsid w:val="00555CE7"/>
    <w:rsid w:val="005561A8"/>
    <w:rsid w:val="005561B1"/>
    <w:rsid w:val="005564C2"/>
    <w:rsid w:val="00556965"/>
    <w:rsid w:val="00556DE5"/>
    <w:rsid w:val="00556E77"/>
    <w:rsid w:val="00556FD9"/>
    <w:rsid w:val="00557B1A"/>
    <w:rsid w:val="00557D7B"/>
    <w:rsid w:val="0056036C"/>
    <w:rsid w:val="00560801"/>
    <w:rsid w:val="00560858"/>
    <w:rsid w:val="0056088B"/>
    <w:rsid w:val="00560EF2"/>
    <w:rsid w:val="0056110C"/>
    <w:rsid w:val="005611BD"/>
    <w:rsid w:val="0056138E"/>
    <w:rsid w:val="00561975"/>
    <w:rsid w:val="00561E11"/>
    <w:rsid w:val="005624E7"/>
    <w:rsid w:val="0056254F"/>
    <w:rsid w:val="0056278A"/>
    <w:rsid w:val="00562CE8"/>
    <w:rsid w:val="00563164"/>
    <w:rsid w:val="00563718"/>
    <w:rsid w:val="00563AEC"/>
    <w:rsid w:val="005641CB"/>
    <w:rsid w:val="00564345"/>
    <w:rsid w:val="005644C3"/>
    <w:rsid w:val="0056487E"/>
    <w:rsid w:val="00564971"/>
    <w:rsid w:val="00564A33"/>
    <w:rsid w:val="005655B3"/>
    <w:rsid w:val="00565645"/>
    <w:rsid w:val="0056568E"/>
    <w:rsid w:val="00565841"/>
    <w:rsid w:val="00565BC5"/>
    <w:rsid w:val="00566422"/>
    <w:rsid w:val="00566447"/>
    <w:rsid w:val="005667A4"/>
    <w:rsid w:val="00566D6D"/>
    <w:rsid w:val="005672BC"/>
    <w:rsid w:val="0056772B"/>
    <w:rsid w:val="00567BA3"/>
    <w:rsid w:val="00570408"/>
    <w:rsid w:val="005704F4"/>
    <w:rsid w:val="005707D5"/>
    <w:rsid w:val="00570B33"/>
    <w:rsid w:val="00571165"/>
    <w:rsid w:val="0057116F"/>
    <w:rsid w:val="005712F8"/>
    <w:rsid w:val="00571956"/>
    <w:rsid w:val="00571D62"/>
    <w:rsid w:val="00571F9C"/>
    <w:rsid w:val="00571FC3"/>
    <w:rsid w:val="0057209C"/>
    <w:rsid w:val="00572316"/>
    <w:rsid w:val="005726A3"/>
    <w:rsid w:val="005726CE"/>
    <w:rsid w:val="00572AA3"/>
    <w:rsid w:val="00572E63"/>
    <w:rsid w:val="00572F21"/>
    <w:rsid w:val="005731C9"/>
    <w:rsid w:val="00573468"/>
    <w:rsid w:val="005736E0"/>
    <w:rsid w:val="0057374D"/>
    <w:rsid w:val="0057384D"/>
    <w:rsid w:val="00573AC5"/>
    <w:rsid w:val="00573C3D"/>
    <w:rsid w:val="00573CCD"/>
    <w:rsid w:val="00574007"/>
    <w:rsid w:val="0057417A"/>
    <w:rsid w:val="005741A4"/>
    <w:rsid w:val="0057455E"/>
    <w:rsid w:val="0057465B"/>
    <w:rsid w:val="00574829"/>
    <w:rsid w:val="00574E6E"/>
    <w:rsid w:val="00574E86"/>
    <w:rsid w:val="00574F94"/>
    <w:rsid w:val="00574FFA"/>
    <w:rsid w:val="005750AF"/>
    <w:rsid w:val="005754D2"/>
    <w:rsid w:val="00575604"/>
    <w:rsid w:val="00575674"/>
    <w:rsid w:val="00575810"/>
    <w:rsid w:val="0057634F"/>
    <w:rsid w:val="005766EC"/>
    <w:rsid w:val="0057676B"/>
    <w:rsid w:val="005767D9"/>
    <w:rsid w:val="005768CB"/>
    <w:rsid w:val="005769DA"/>
    <w:rsid w:val="00576EFF"/>
    <w:rsid w:val="00577146"/>
    <w:rsid w:val="00577177"/>
    <w:rsid w:val="00577225"/>
    <w:rsid w:val="005773A0"/>
    <w:rsid w:val="005773B0"/>
    <w:rsid w:val="005775D4"/>
    <w:rsid w:val="0057790A"/>
    <w:rsid w:val="00580045"/>
    <w:rsid w:val="005800F8"/>
    <w:rsid w:val="005801AA"/>
    <w:rsid w:val="00580825"/>
    <w:rsid w:val="005808CD"/>
    <w:rsid w:val="00580A07"/>
    <w:rsid w:val="00580B1B"/>
    <w:rsid w:val="00580F8D"/>
    <w:rsid w:val="00581026"/>
    <w:rsid w:val="0058156A"/>
    <w:rsid w:val="00581D8A"/>
    <w:rsid w:val="00581E0B"/>
    <w:rsid w:val="00582002"/>
    <w:rsid w:val="00582046"/>
    <w:rsid w:val="005825BD"/>
    <w:rsid w:val="0058278B"/>
    <w:rsid w:val="00582F15"/>
    <w:rsid w:val="00582F1A"/>
    <w:rsid w:val="00583145"/>
    <w:rsid w:val="0058353F"/>
    <w:rsid w:val="005835CA"/>
    <w:rsid w:val="00583914"/>
    <w:rsid w:val="00583C58"/>
    <w:rsid w:val="00583F63"/>
    <w:rsid w:val="00584006"/>
    <w:rsid w:val="00584050"/>
    <w:rsid w:val="00584156"/>
    <w:rsid w:val="00584B90"/>
    <w:rsid w:val="00584CF3"/>
    <w:rsid w:val="0058501F"/>
    <w:rsid w:val="00585525"/>
    <w:rsid w:val="00585538"/>
    <w:rsid w:val="0058570E"/>
    <w:rsid w:val="00585BD3"/>
    <w:rsid w:val="005860CF"/>
    <w:rsid w:val="005861E2"/>
    <w:rsid w:val="00586CB4"/>
    <w:rsid w:val="00586D72"/>
    <w:rsid w:val="00586FA6"/>
    <w:rsid w:val="00586FB4"/>
    <w:rsid w:val="00587231"/>
    <w:rsid w:val="00587334"/>
    <w:rsid w:val="0058750C"/>
    <w:rsid w:val="00587F1E"/>
    <w:rsid w:val="005903FD"/>
    <w:rsid w:val="00590A4F"/>
    <w:rsid w:val="00590AC8"/>
    <w:rsid w:val="00590E36"/>
    <w:rsid w:val="00590F71"/>
    <w:rsid w:val="005910B3"/>
    <w:rsid w:val="005913F8"/>
    <w:rsid w:val="005917C2"/>
    <w:rsid w:val="005919CF"/>
    <w:rsid w:val="00591B92"/>
    <w:rsid w:val="00591E65"/>
    <w:rsid w:val="00592013"/>
    <w:rsid w:val="00592216"/>
    <w:rsid w:val="005923A3"/>
    <w:rsid w:val="00592518"/>
    <w:rsid w:val="00592632"/>
    <w:rsid w:val="00592BA9"/>
    <w:rsid w:val="00592C0C"/>
    <w:rsid w:val="0059309E"/>
    <w:rsid w:val="0059337D"/>
    <w:rsid w:val="005933B5"/>
    <w:rsid w:val="005933DE"/>
    <w:rsid w:val="00593540"/>
    <w:rsid w:val="00593593"/>
    <w:rsid w:val="00593B1A"/>
    <w:rsid w:val="00593DCE"/>
    <w:rsid w:val="00594A39"/>
    <w:rsid w:val="00594E2C"/>
    <w:rsid w:val="00594F87"/>
    <w:rsid w:val="00594FF5"/>
    <w:rsid w:val="00595081"/>
    <w:rsid w:val="005950C1"/>
    <w:rsid w:val="0059573F"/>
    <w:rsid w:val="00595A33"/>
    <w:rsid w:val="00595BB5"/>
    <w:rsid w:val="00595F55"/>
    <w:rsid w:val="00596DF4"/>
    <w:rsid w:val="00596E1B"/>
    <w:rsid w:val="00596FCE"/>
    <w:rsid w:val="00597029"/>
    <w:rsid w:val="005973C1"/>
    <w:rsid w:val="00597650"/>
    <w:rsid w:val="00597788"/>
    <w:rsid w:val="00597ED0"/>
    <w:rsid w:val="005A004D"/>
    <w:rsid w:val="005A0066"/>
    <w:rsid w:val="005A0390"/>
    <w:rsid w:val="005A03FB"/>
    <w:rsid w:val="005A064E"/>
    <w:rsid w:val="005A0825"/>
    <w:rsid w:val="005A1085"/>
    <w:rsid w:val="005A12DE"/>
    <w:rsid w:val="005A12E0"/>
    <w:rsid w:val="005A1500"/>
    <w:rsid w:val="005A152B"/>
    <w:rsid w:val="005A17B8"/>
    <w:rsid w:val="005A1C35"/>
    <w:rsid w:val="005A1E8A"/>
    <w:rsid w:val="005A239F"/>
    <w:rsid w:val="005A243E"/>
    <w:rsid w:val="005A259E"/>
    <w:rsid w:val="005A25FC"/>
    <w:rsid w:val="005A27F0"/>
    <w:rsid w:val="005A34F5"/>
    <w:rsid w:val="005A364D"/>
    <w:rsid w:val="005A3BE3"/>
    <w:rsid w:val="005A3C75"/>
    <w:rsid w:val="005A3CAC"/>
    <w:rsid w:val="005A3D56"/>
    <w:rsid w:val="005A452B"/>
    <w:rsid w:val="005A45A7"/>
    <w:rsid w:val="005A4BC9"/>
    <w:rsid w:val="005A4E63"/>
    <w:rsid w:val="005A4FE8"/>
    <w:rsid w:val="005A51F9"/>
    <w:rsid w:val="005A5486"/>
    <w:rsid w:val="005A5B15"/>
    <w:rsid w:val="005A606D"/>
    <w:rsid w:val="005A63C3"/>
    <w:rsid w:val="005A6930"/>
    <w:rsid w:val="005A696A"/>
    <w:rsid w:val="005A6AC0"/>
    <w:rsid w:val="005A6B11"/>
    <w:rsid w:val="005A6B34"/>
    <w:rsid w:val="005A6F0C"/>
    <w:rsid w:val="005A7005"/>
    <w:rsid w:val="005A712C"/>
    <w:rsid w:val="005A719F"/>
    <w:rsid w:val="005A71C6"/>
    <w:rsid w:val="005A7446"/>
    <w:rsid w:val="005A77B0"/>
    <w:rsid w:val="005A7DA4"/>
    <w:rsid w:val="005A7F14"/>
    <w:rsid w:val="005B02E2"/>
    <w:rsid w:val="005B0469"/>
    <w:rsid w:val="005B0534"/>
    <w:rsid w:val="005B0573"/>
    <w:rsid w:val="005B0739"/>
    <w:rsid w:val="005B11D8"/>
    <w:rsid w:val="005B14E4"/>
    <w:rsid w:val="005B18D8"/>
    <w:rsid w:val="005B1BD6"/>
    <w:rsid w:val="005B1E1C"/>
    <w:rsid w:val="005B2519"/>
    <w:rsid w:val="005B264D"/>
    <w:rsid w:val="005B26E9"/>
    <w:rsid w:val="005B2853"/>
    <w:rsid w:val="005B2A0E"/>
    <w:rsid w:val="005B2A63"/>
    <w:rsid w:val="005B32B6"/>
    <w:rsid w:val="005B3541"/>
    <w:rsid w:val="005B3693"/>
    <w:rsid w:val="005B3797"/>
    <w:rsid w:val="005B3E37"/>
    <w:rsid w:val="005B4148"/>
    <w:rsid w:val="005B4764"/>
    <w:rsid w:val="005B492E"/>
    <w:rsid w:val="005B4CD8"/>
    <w:rsid w:val="005B528A"/>
    <w:rsid w:val="005B5391"/>
    <w:rsid w:val="005B54E9"/>
    <w:rsid w:val="005B55B2"/>
    <w:rsid w:val="005B5789"/>
    <w:rsid w:val="005B5B3C"/>
    <w:rsid w:val="005B5B44"/>
    <w:rsid w:val="005B5BDB"/>
    <w:rsid w:val="005B5DCA"/>
    <w:rsid w:val="005B60B6"/>
    <w:rsid w:val="005B61BE"/>
    <w:rsid w:val="005B62D4"/>
    <w:rsid w:val="005B64CC"/>
    <w:rsid w:val="005B6678"/>
    <w:rsid w:val="005B66AB"/>
    <w:rsid w:val="005B6967"/>
    <w:rsid w:val="005B6BC6"/>
    <w:rsid w:val="005B6C5A"/>
    <w:rsid w:val="005B6CC3"/>
    <w:rsid w:val="005B742A"/>
    <w:rsid w:val="005B77F0"/>
    <w:rsid w:val="005B787B"/>
    <w:rsid w:val="005C058C"/>
    <w:rsid w:val="005C05A1"/>
    <w:rsid w:val="005C0F0D"/>
    <w:rsid w:val="005C10C3"/>
    <w:rsid w:val="005C14E3"/>
    <w:rsid w:val="005C15E6"/>
    <w:rsid w:val="005C176B"/>
    <w:rsid w:val="005C1A02"/>
    <w:rsid w:val="005C1BFE"/>
    <w:rsid w:val="005C1F21"/>
    <w:rsid w:val="005C2133"/>
    <w:rsid w:val="005C2A2F"/>
    <w:rsid w:val="005C2E46"/>
    <w:rsid w:val="005C303C"/>
    <w:rsid w:val="005C36C6"/>
    <w:rsid w:val="005C36EA"/>
    <w:rsid w:val="005C3B25"/>
    <w:rsid w:val="005C41EA"/>
    <w:rsid w:val="005C4246"/>
    <w:rsid w:val="005C4415"/>
    <w:rsid w:val="005C44C7"/>
    <w:rsid w:val="005C48EF"/>
    <w:rsid w:val="005C4BD2"/>
    <w:rsid w:val="005C5858"/>
    <w:rsid w:val="005C5ACE"/>
    <w:rsid w:val="005C68E9"/>
    <w:rsid w:val="005C69E2"/>
    <w:rsid w:val="005C6BF8"/>
    <w:rsid w:val="005C6C10"/>
    <w:rsid w:val="005C6F4B"/>
    <w:rsid w:val="005C7100"/>
    <w:rsid w:val="005C734A"/>
    <w:rsid w:val="005C73DD"/>
    <w:rsid w:val="005C7950"/>
    <w:rsid w:val="005C7953"/>
    <w:rsid w:val="005C7BCD"/>
    <w:rsid w:val="005D0886"/>
    <w:rsid w:val="005D0D1A"/>
    <w:rsid w:val="005D0F2E"/>
    <w:rsid w:val="005D13A0"/>
    <w:rsid w:val="005D145C"/>
    <w:rsid w:val="005D1B41"/>
    <w:rsid w:val="005D1B68"/>
    <w:rsid w:val="005D1E03"/>
    <w:rsid w:val="005D1F31"/>
    <w:rsid w:val="005D2472"/>
    <w:rsid w:val="005D2520"/>
    <w:rsid w:val="005D2687"/>
    <w:rsid w:val="005D26B8"/>
    <w:rsid w:val="005D2BDE"/>
    <w:rsid w:val="005D2C9D"/>
    <w:rsid w:val="005D2E6A"/>
    <w:rsid w:val="005D3067"/>
    <w:rsid w:val="005D31E3"/>
    <w:rsid w:val="005D32CB"/>
    <w:rsid w:val="005D3481"/>
    <w:rsid w:val="005D3659"/>
    <w:rsid w:val="005D36A5"/>
    <w:rsid w:val="005D3BA3"/>
    <w:rsid w:val="005D4027"/>
    <w:rsid w:val="005D40FC"/>
    <w:rsid w:val="005D50F4"/>
    <w:rsid w:val="005D53FB"/>
    <w:rsid w:val="005D588C"/>
    <w:rsid w:val="005D5AF3"/>
    <w:rsid w:val="005D5DE4"/>
    <w:rsid w:val="005D5E06"/>
    <w:rsid w:val="005D5EEB"/>
    <w:rsid w:val="005D5F87"/>
    <w:rsid w:val="005D5FFA"/>
    <w:rsid w:val="005D6007"/>
    <w:rsid w:val="005D64D0"/>
    <w:rsid w:val="005D65C0"/>
    <w:rsid w:val="005D6ABD"/>
    <w:rsid w:val="005D6C41"/>
    <w:rsid w:val="005D6D0D"/>
    <w:rsid w:val="005D6DBE"/>
    <w:rsid w:val="005D74B9"/>
    <w:rsid w:val="005D772C"/>
    <w:rsid w:val="005D784A"/>
    <w:rsid w:val="005D78FD"/>
    <w:rsid w:val="005D7BA6"/>
    <w:rsid w:val="005E0381"/>
    <w:rsid w:val="005E047B"/>
    <w:rsid w:val="005E0719"/>
    <w:rsid w:val="005E0809"/>
    <w:rsid w:val="005E1016"/>
    <w:rsid w:val="005E1376"/>
    <w:rsid w:val="005E146D"/>
    <w:rsid w:val="005E1C43"/>
    <w:rsid w:val="005E1F09"/>
    <w:rsid w:val="005E229E"/>
    <w:rsid w:val="005E24E1"/>
    <w:rsid w:val="005E2833"/>
    <w:rsid w:val="005E2FB4"/>
    <w:rsid w:val="005E33A7"/>
    <w:rsid w:val="005E34ED"/>
    <w:rsid w:val="005E35D7"/>
    <w:rsid w:val="005E3883"/>
    <w:rsid w:val="005E39B6"/>
    <w:rsid w:val="005E3E54"/>
    <w:rsid w:val="005E408A"/>
    <w:rsid w:val="005E436D"/>
    <w:rsid w:val="005E483B"/>
    <w:rsid w:val="005E4C97"/>
    <w:rsid w:val="005E5278"/>
    <w:rsid w:val="005E5523"/>
    <w:rsid w:val="005E555E"/>
    <w:rsid w:val="005E5A74"/>
    <w:rsid w:val="005E5F80"/>
    <w:rsid w:val="005E617A"/>
    <w:rsid w:val="005E6387"/>
    <w:rsid w:val="005E63B8"/>
    <w:rsid w:val="005E64E5"/>
    <w:rsid w:val="005E6DC0"/>
    <w:rsid w:val="005E6E34"/>
    <w:rsid w:val="005E6E8A"/>
    <w:rsid w:val="005E7201"/>
    <w:rsid w:val="005E7267"/>
    <w:rsid w:val="005E771D"/>
    <w:rsid w:val="005E7759"/>
    <w:rsid w:val="005E78BC"/>
    <w:rsid w:val="005E7A56"/>
    <w:rsid w:val="005E7E15"/>
    <w:rsid w:val="005F044F"/>
    <w:rsid w:val="005F0475"/>
    <w:rsid w:val="005F068E"/>
    <w:rsid w:val="005F07D9"/>
    <w:rsid w:val="005F083F"/>
    <w:rsid w:val="005F0905"/>
    <w:rsid w:val="005F096A"/>
    <w:rsid w:val="005F0A04"/>
    <w:rsid w:val="005F0AE6"/>
    <w:rsid w:val="005F0BC2"/>
    <w:rsid w:val="005F0EAC"/>
    <w:rsid w:val="005F0F5F"/>
    <w:rsid w:val="005F0FE2"/>
    <w:rsid w:val="005F14B8"/>
    <w:rsid w:val="005F1565"/>
    <w:rsid w:val="005F18AC"/>
    <w:rsid w:val="005F1D2E"/>
    <w:rsid w:val="005F22CC"/>
    <w:rsid w:val="005F24A5"/>
    <w:rsid w:val="005F2524"/>
    <w:rsid w:val="005F2CBB"/>
    <w:rsid w:val="005F2D82"/>
    <w:rsid w:val="005F2F80"/>
    <w:rsid w:val="005F3089"/>
    <w:rsid w:val="005F30C0"/>
    <w:rsid w:val="005F3FD0"/>
    <w:rsid w:val="005F40D3"/>
    <w:rsid w:val="005F4160"/>
    <w:rsid w:val="005F41D0"/>
    <w:rsid w:val="005F4508"/>
    <w:rsid w:val="005F4546"/>
    <w:rsid w:val="005F4664"/>
    <w:rsid w:val="005F4CDA"/>
    <w:rsid w:val="005F5147"/>
    <w:rsid w:val="005F5338"/>
    <w:rsid w:val="005F53C3"/>
    <w:rsid w:val="005F5532"/>
    <w:rsid w:val="005F55FC"/>
    <w:rsid w:val="005F5AB7"/>
    <w:rsid w:val="005F5AB8"/>
    <w:rsid w:val="005F5CF3"/>
    <w:rsid w:val="005F5EFB"/>
    <w:rsid w:val="005F60E5"/>
    <w:rsid w:val="005F62F1"/>
    <w:rsid w:val="005F642A"/>
    <w:rsid w:val="005F6503"/>
    <w:rsid w:val="005F6664"/>
    <w:rsid w:val="005F66E7"/>
    <w:rsid w:val="005F6E5D"/>
    <w:rsid w:val="005F6EA9"/>
    <w:rsid w:val="005F735D"/>
    <w:rsid w:val="005F744A"/>
    <w:rsid w:val="005F756D"/>
    <w:rsid w:val="005F7D2C"/>
    <w:rsid w:val="005F7DCF"/>
    <w:rsid w:val="005FF0BF"/>
    <w:rsid w:val="006002D9"/>
    <w:rsid w:val="00600303"/>
    <w:rsid w:val="006006BC"/>
    <w:rsid w:val="0060085C"/>
    <w:rsid w:val="006009E3"/>
    <w:rsid w:val="00600E6D"/>
    <w:rsid w:val="006011D7"/>
    <w:rsid w:val="0060145B"/>
    <w:rsid w:val="0060145E"/>
    <w:rsid w:val="006016EB"/>
    <w:rsid w:val="006016EE"/>
    <w:rsid w:val="006017D6"/>
    <w:rsid w:val="00601BF4"/>
    <w:rsid w:val="00601E81"/>
    <w:rsid w:val="006022F4"/>
    <w:rsid w:val="0060261A"/>
    <w:rsid w:val="006032E4"/>
    <w:rsid w:val="0060354D"/>
    <w:rsid w:val="00603932"/>
    <w:rsid w:val="00603ADB"/>
    <w:rsid w:val="00603BC9"/>
    <w:rsid w:val="00603D8B"/>
    <w:rsid w:val="00603DC7"/>
    <w:rsid w:val="00604132"/>
    <w:rsid w:val="00604377"/>
    <w:rsid w:val="00604763"/>
    <w:rsid w:val="00604BE2"/>
    <w:rsid w:val="00604DFA"/>
    <w:rsid w:val="00604FD0"/>
    <w:rsid w:val="006054AD"/>
    <w:rsid w:val="00605A24"/>
    <w:rsid w:val="00605C8F"/>
    <w:rsid w:val="00605CCE"/>
    <w:rsid w:val="00605E90"/>
    <w:rsid w:val="00606184"/>
    <w:rsid w:val="006064E4"/>
    <w:rsid w:val="006066BB"/>
    <w:rsid w:val="0060692C"/>
    <w:rsid w:val="0060697E"/>
    <w:rsid w:val="00606A57"/>
    <w:rsid w:val="00606B38"/>
    <w:rsid w:val="00606D5F"/>
    <w:rsid w:val="00606D85"/>
    <w:rsid w:val="00606E4F"/>
    <w:rsid w:val="00606EA2"/>
    <w:rsid w:val="006070F7"/>
    <w:rsid w:val="006073C2"/>
    <w:rsid w:val="006075E7"/>
    <w:rsid w:val="00607A83"/>
    <w:rsid w:val="00607B2F"/>
    <w:rsid w:val="00607C6D"/>
    <w:rsid w:val="00607E88"/>
    <w:rsid w:val="00607F7D"/>
    <w:rsid w:val="00607F94"/>
    <w:rsid w:val="006105BA"/>
    <w:rsid w:val="0061097B"/>
    <w:rsid w:val="0061098B"/>
    <w:rsid w:val="00610B7E"/>
    <w:rsid w:val="00610C1F"/>
    <w:rsid w:val="006112D0"/>
    <w:rsid w:val="00611613"/>
    <w:rsid w:val="00611D13"/>
    <w:rsid w:val="00611DA9"/>
    <w:rsid w:val="00611EB9"/>
    <w:rsid w:val="006122D7"/>
    <w:rsid w:val="006123CD"/>
    <w:rsid w:val="00612E37"/>
    <w:rsid w:val="006132F2"/>
    <w:rsid w:val="0061335D"/>
    <w:rsid w:val="006133E1"/>
    <w:rsid w:val="006135BF"/>
    <w:rsid w:val="006138D7"/>
    <w:rsid w:val="00613C07"/>
    <w:rsid w:val="00614076"/>
    <w:rsid w:val="0061495C"/>
    <w:rsid w:val="00614D4E"/>
    <w:rsid w:val="006157AC"/>
    <w:rsid w:val="00615876"/>
    <w:rsid w:val="00615A6F"/>
    <w:rsid w:val="00615B07"/>
    <w:rsid w:val="00615CF4"/>
    <w:rsid w:val="00615D91"/>
    <w:rsid w:val="0061605E"/>
    <w:rsid w:val="00616480"/>
    <w:rsid w:val="00616A49"/>
    <w:rsid w:val="00616E05"/>
    <w:rsid w:val="00616F78"/>
    <w:rsid w:val="0061730F"/>
    <w:rsid w:val="0061741B"/>
    <w:rsid w:val="00617761"/>
    <w:rsid w:val="0061785B"/>
    <w:rsid w:val="006179A5"/>
    <w:rsid w:val="00617C6B"/>
    <w:rsid w:val="00617E12"/>
    <w:rsid w:val="006201F3"/>
    <w:rsid w:val="00620A01"/>
    <w:rsid w:val="00620A2B"/>
    <w:rsid w:val="00620AC7"/>
    <w:rsid w:val="00620B76"/>
    <w:rsid w:val="00620EA7"/>
    <w:rsid w:val="00620F88"/>
    <w:rsid w:val="00621484"/>
    <w:rsid w:val="00621486"/>
    <w:rsid w:val="00621783"/>
    <w:rsid w:val="00621ACD"/>
    <w:rsid w:val="00621D51"/>
    <w:rsid w:val="00621D54"/>
    <w:rsid w:val="00621F6B"/>
    <w:rsid w:val="006221C8"/>
    <w:rsid w:val="006224BC"/>
    <w:rsid w:val="00622C72"/>
    <w:rsid w:val="00622E4D"/>
    <w:rsid w:val="006231E3"/>
    <w:rsid w:val="006234BC"/>
    <w:rsid w:val="00623546"/>
    <w:rsid w:val="00623670"/>
    <w:rsid w:val="006236A0"/>
    <w:rsid w:val="00623D4B"/>
    <w:rsid w:val="00623ED4"/>
    <w:rsid w:val="0062411C"/>
    <w:rsid w:val="00624354"/>
    <w:rsid w:val="00624427"/>
    <w:rsid w:val="00624645"/>
    <w:rsid w:val="006246B8"/>
    <w:rsid w:val="00624B3A"/>
    <w:rsid w:val="00624D92"/>
    <w:rsid w:val="00624E2A"/>
    <w:rsid w:val="006250FB"/>
    <w:rsid w:val="0062518D"/>
    <w:rsid w:val="006256B8"/>
    <w:rsid w:val="0062573F"/>
    <w:rsid w:val="00625928"/>
    <w:rsid w:val="00625990"/>
    <w:rsid w:val="00625D52"/>
    <w:rsid w:val="00625ECE"/>
    <w:rsid w:val="00626022"/>
    <w:rsid w:val="006261B9"/>
    <w:rsid w:val="00626712"/>
    <w:rsid w:val="00626A3B"/>
    <w:rsid w:val="00626FA7"/>
    <w:rsid w:val="00627120"/>
    <w:rsid w:val="00627642"/>
    <w:rsid w:val="006276B5"/>
    <w:rsid w:val="00627E6E"/>
    <w:rsid w:val="00630372"/>
    <w:rsid w:val="00630908"/>
    <w:rsid w:val="0063093A"/>
    <w:rsid w:val="00630D32"/>
    <w:rsid w:val="0063104F"/>
    <w:rsid w:val="00631295"/>
    <w:rsid w:val="00631575"/>
    <w:rsid w:val="00631826"/>
    <w:rsid w:val="006319C1"/>
    <w:rsid w:val="006319F4"/>
    <w:rsid w:val="00631A28"/>
    <w:rsid w:val="00631D71"/>
    <w:rsid w:val="00631DD1"/>
    <w:rsid w:val="00631E6E"/>
    <w:rsid w:val="00631E86"/>
    <w:rsid w:val="006321C5"/>
    <w:rsid w:val="006323AF"/>
    <w:rsid w:val="006324FC"/>
    <w:rsid w:val="006326B0"/>
    <w:rsid w:val="00632713"/>
    <w:rsid w:val="00632816"/>
    <w:rsid w:val="00632A1A"/>
    <w:rsid w:val="00632A80"/>
    <w:rsid w:val="00632BE5"/>
    <w:rsid w:val="00632D00"/>
    <w:rsid w:val="00632F9E"/>
    <w:rsid w:val="0063321F"/>
    <w:rsid w:val="00633361"/>
    <w:rsid w:val="006334DC"/>
    <w:rsid w:val="006337C7"/>
    <w:rsid w:val="00633873"/>
    <w:rsid w:val="0063387D"/>
    <w:rsid w:val="00633A50"/>
    <w:rsid w:val="00633AA6"/>
    <w:rsid w:val="00633C1C"/>
    <w:rsid w:val="00633D25"/>
    <w:rsid w:val="00633E4D"/>
    <w:rsid w:val="00633FE5"/>
    <w:rsid w:val="0063479F"/>
    <w:rsid w:val="00634B1A"/>
    <w:rsid w:val="00634D77"/>
    <w:rsid w:val="00634FC5"/>
    <w:rsid w:val="0063509F"/>
    <w:rsid w:val="00635333"/>
    <w:rsid w:val="00635512"/>
    <w:rsid w:val="00635555"/>
    <w:rsid w:val="00635602"/>
    <w:rsid w:val="00635604"/>
    <w:rsid w:val="0063567C"/>
    <w:rsid w:val="00635BA7"/>
    <w:rsid w:val="00636495"/>
    <w:rsid w:val="006368D5"/>
    <w:rsid w:val="00636C6E"/>
    <w:rsid w:val="00637089"/>
    <w:rsid w:val="00637360"/>
    <w:rsid w:val="00637374"/>
    <w:rsid w:val="006374BD"/>
    <w:rsid w:val="006377B9"/>
    <w:rsid w:val="00637F9A"/>
    <w:rsid w:val="00640177"/>
    <w:rsid w:val="0064036C"/>
    <w:rsid w:val="006403A2"/>
    <w:rsid w:val="006403F7"/>
    <w:rsid w:val="00640818"/>
    <w:rsid w:val="0064118F"/>
    <w:rsid w:val="0064129A"/>
    <w:rsid w:val="006412F8"/>
    <w:rsid w:val="00641CA2"/>
    <w:rsid w:val="00641F48"/>
    <w:rsid w:val="00642285"/>
    <w:rsid w:val="0064237B"/>
    <w:rsid w:val="006423B8"/>
    <w:rsid w:val="006426A0"/>
    <w:rsid w:val="006426AD"/>
    <w:rsid w:val="00642979"/>
    <w:rsid w:val="006429E4"/>
    <w:rsid w:val="00642C43"/>
    <w:rsid w:val="00642CA9"/>
    <w:rsid w:val="00642DB2"/>
    <w:rsid w:val="006433A8"/>
    <w:rsid w:val="00643428"/>
    <w:rsid w:val="00643826"/>
    <w:rsid w:val="00643A26"/>
    <w:rsid w:val="00643A31"/>
    <w:rsid w:val="006441DD"/>
    <w:rsid w:val="006445BD"/>
    <w:rsid w:val="0064495B"/>
    <w:rsid w:val="0064495C"/>
    <w:rsid w:val="00644CEE"/>
    <w:rsid w:val="00644FD3"/>
    <w:rsid w:val="0064518A"/>
    <w:rsid w:val="0064570F"/>
    <w:rsid w:val="00645EE7"/>
    <w:rsid w:val="006461F9"/>
    <w:rsid w:val="006463C5"/>
    <w:rsid w:val="00646809"/>
    <w:rsid w:val="00646E3C"/>
    <w:rsid w:val="00646E90"/>
    <w:rsid w:val="006472DF"/>
    <w:rsid w:val="0064758C"/>
    <w:rsid w:val="006479DF"/>
    <w:rsid w:val="00647BC2"/>
    <w:rsid w:val="006501C3"/>
    <w:rsid w:val="00650280"/>
    <w:rsid w:val="00650A03"/>
    <w:rsid w:val="00650A2C"/>
    <w:rsid w:val="00650BD4"/>
    <w:rsid w:val="00650F5F"/>
    <w:rsid w:val="0065142F"/>
    <w:rsid w:val="00651696"/>
    <w:rsid w:val="00651817"/>
    <w:rsid w:val="00651C67"/>
    <w:rsid w:val="00651FD1"/>
    <w:rsid w:val="006524B0"/>
    <w:rsid w:val="006528A7"/>
    <w:rsid w:val="00652A0D"/>
    <w:rsid w:val="00653028"/>
    <w:rsid w:val="00653370"/>
    <w:rsid w:val="006533DC"/>
    <w:rsid w:val="00653561"/>
    <w:rsid w:val="00653578"/>
    <w:rsid w:val="006538DD"/>
    <w:rsid w:val="006538F8"/>
    <w:rsid w:val="006539E6"/>
    <w:rsid w:val="00653B16"/>
    <w:rsid w:val="00653DB6"/>
    <w:rsid w:val="00653E3C"/>
    <w:rsid w:val="006540EF"/>
    <w:rsid w:val="00654111"/>
    <w:rsid w:val="0065430C"/>
    <w:rsid w:val="0065475E"/>
    <w:rsid w:val="0065498F"/>
    <w:rsid w:val="00654D15"/>
    <w:rsid w:val="00654D45"/>
    <w:rsid w:val="0065508A"/>
    <w:rsid w:val="00655703"/>
    <w:rsid w:val="00655F03"/>
    <w:rsid w:val="006564C0"/>
    <w:rsid w:val="006569D4"/>
    <w:rsid w:val="00657105"/>
    <w:rsid w:val="006573F8"/>
    <w:rsid w:val="006577FB"/>
    <w:rsid w:val="00657CD1"/>
    <w:rsid w:val="00657DE6"/>
    <w:rsid w:val="006600F7"/>
    <w:rsid w:val="00660242"/>
    <w:rsid w:val="00660749"/>
    <w:rsid w:val="006609EC"/>
    <w:rsid w:val="00660A00"/>
    <w:rsid w:val="00660AA1"/>
    <w:rsid w:val="00660AB0"/>
    <w:rsid w:val="00660B3B"/>
    <w:rsid w:val="00660BC0"/>
    <w:rsid w:val="00660EB3"/>
    <w:rsid w:val="00661198"/>
    <w:rsid w:val="006611C8"/>
    <w:rsid w:val="00661655"/>
    <w:rsid w:val="006617DC"/>
    <w:rsid w:val="00661BA3"/>
    <w:rsid w:val="006624A8"/>
    <w:rsid w:val="00662559"/>
    <w:rsid w:val="00662973"/>
    <w:rsid w:val="00662D60"/>
    <w:rsid w:val="006634D9"/>
    <w:rsid w:val="00663599"/>
    <w:rsid w:val="006635E6"/>
    <w:rsid w:val="0066391D"/>
    <w:rsid w:val="00663A7C"/>
    <w:rsid w:val="00663BE1"/>
    <w:rsid w:val="00663BF9"/>
    <w:rsid w:val="00663C11"/>
    <w:rsid w:val="00663CA8"/>
    <w:rsid w:val="006648BB"/>
    <w:rsid w:val="00664B26"/>
    <w:rsid w:val="006651EE"/>
    <w:rsid w:val="006654DD"/>
    <w:rsid w:val="00665957"/>
    <w:rsid w:val="00666553"/>
    <w:rsid w:val="00666704"/>
    <w:rsid w:val="00666812"/>
    <w:rsid w:val="006668C2"/>
    <w:rsid w:val="00666946"/>
    <w:rsid w:val="00666C60"/>
    <w:rsid w:val="00666EF6"/>
    <w:rsid w:val="00666FB1"/>
    <w:rsid w:val="006673B7"/>
    <w:rsid w:val="0066751D"/>
    <w:rsid w:val="006675DF"/>
    <w:rsid w:val="0066799B"/>
    <w:rsid w:val="00667ED0"/>
    <w:rsid w:val="00667F95"/>
    <w:rsid w:val="00670147"/>
    <w:rsid w:val="0067028D"/>
    <w:rsid w:val="00670428"/>
    <w:rsid w:val="006704D8"/>
    <w:rsid w:val="006704F9"/>
    <w:rsid w:val="00670843"/>
    <w:rsid w:val="006709B2"/>
    <w:rsid w:val="006709E5"/>
    <w:rsid w:val="00670F54"/>
    <w:rsid w:val="006715E2"/>
    <w:rsid w:val="0067189E"/>
    <w:rsid w:val="00671E25"/>
    <w:rsid w:val="00671E3E"/>
    <w:rsid w:val="00672002"/>
    <w:rsid w:val="00672030"/>
    <w:rsid w:val="006720DC"/>
    <w:rsid w:val="0067219D"/>
    <w:rsid w:val="00672322"/>
    <w:rsid w:val="00672357"/>
    <w:rsid w:val="0067290D"/>
    <w:rsid w:val="006731B6"/>
    <w:rsid w:val="006734B8"/>
    <w:rsid w:val="00673501"/>
    <w:rsid w:val="00673D0A"/>
    <w:rsid w:val="00673DEF"/>
    <w:rsid w:val="00674026"/>
    <w:rsid w:val="006740D1"/>
    <w:rsid w:val="006742B4"/>
    <w:rsid w:val="0067435E"/>
    <w:rsid w:val="00674D37"/>
    <w:rsid w:val="00675144"/>
    <w:rsid w:val="00675189"/>
    <w:rsid w:val="00675600"/>
    <w:rsid w:val="00675BCD"/>
    <w:rsid w:val="0067650A"/>
    <w:rsid w:val="00676749"/>
    <w:rsid w:val="00676A9A"/>
    <w:rsid w:val="00676E78"/>
    <w:rsid w:val="00676EEA"/>
    <w:rsid w:val="00677604"/>
    <w:rsid w:val="00677B0F"/>
    <w:rsid w:val="00677C5D"/>
    <w:rsid w:val="00677E14"/>
    <w:rsid w:val="00677E6A"/>
    <w:rsid w:val="006801D8"/>
    <w:rsid w:val="00680C63"/>
    <w:rsid w:val="00680DFF"/>
    <w:rsid w:val="006811BB"/>
    <w:rsid w:val="00681465"/>
    <w:rsid w:val="00681888"/>
    <w:rsid w:val="00681A36"/>
    <w:rsid w:val="00681B96"/>
    <w:rsid w:val="00681DE5"/>
    <w:rsid w:val="00681F0C"/>
    <w:rsid w:val="00681FF2"/>
    <w:rsid w:val="006821A9"/>
    <w:rsid w:val="0068301B"/>
    <w:rsid w:val="00683092"/>
    <w:rsid w:val="0068312C"/>
    <w:rsid w:val="00683272"/>
    <w:rsid w:val="0068333D"/>
    <w:rsid w:val="00683382"/>
    <w:rsid w:val="00683404"/>
    <w:rsid w:val="0068347F"/>
    <w:rsid w:val="006834B8"/>
    <w:rsid w:val="0068352A"/>
    <w:rsid w:val="00683985"/>
    <w:rsid w:val="006839CA"/>
    <w:rsid w:val="006843CB"/>
    <w:rsid w:val="006849F5"/>
    <w:rsid w:val="00684F60"/>
    <w:rsid w:val="006850C6"/>
    <w:rsid w:val="0068531A"/>
    <w:rsid w:val="00685ACF"/>
    <w:rsid w:val="00685FE7"/>
    <w:rsid w:val="006860EB"/>
    <w:rsid w:val="0068659B"/>
    <w:rsid w:val="0068686B"/>
    <w:rsid w:val="00686B0E"/>
    <w:rsid w:val="00686E10"/>
    <w:rsid w:val="00687158"/>
    <w:rsid w:val="006873B6"/>
    <w:rsid w:val="006876E8"/>
    <w:rsid w:val="00687A95"/>
    <w:rsid w:val="00687E2D"/>
    <w:rsid w:val="006902D9"/>
    <w:rsid w:val="0069050E"/>
    <w:rsid w:val="00690895"/>
    <w:rsid w:val="00690A22"/>
    <w:rsid w:val="00690BC5"/>
    <w:rsid w:val="0069117F"/>
    <w:rsid w:val="006913F1"/>
    <w:rsid w:val="00691421"/>
    <w:rsid w:val="006914AA"/>
    <w:rsid w:val="0069186C"/>
    <w:rsid w:val="00691A20"/>
    <w:rsid w:val="00691C7A"/>
    <w:rsid w:val="00691DAD"/>
    <w:rsid w:val="006920B0"/>
    <w:rsid w:val="006920E6"/>
    <w:rsid w:val="006923BD"/>
    <w:rsid w:val="0069247A"/>
    <w:rsid w:val="006926B1"/>
    <w:rsid w:val="0069294A"/>
    <w:rsid w:val="00692B83"/>
    <w:rsid w:val="00692CD8"/>
    <w:rsid w:val="00692FAD"/>
    <w:rsid w:val="0069385E"/>
    <w:rsid w:val="00693ED3"/>
    <w:rsid w:val="00693F07"/>
    <w:rsid w:val="006940BF"/>
    <w:rsid w:val="006941B6"/>
    <w:rsid w:val="0069495A"/>
    <w:rsid w:val="00694AFC"/>
    <w:rsid w:val="00694DC3"/>
    <w:rsid w:val="00694E0C"/>
    <w:rsid w:val="00694F03"/>
    <w:rsid w:val="00694F8C"/>
    <w:rsid w:val="0069501D"/>
    <w:rsid w:val="006960F5"/>
    <w:rsid w:val="006961B8"/>
    <w:rsid w:val="006964CE"/>
    <w:rsid w:val="00696A75"/>
    <w:rsid w:val="00696A7C"/>
    <w:rsid w:val="00696C45"/>
    <w:rsid w:val="00696E31"/>
    <w:rsid w:val="00696F45"/>
    <w:rsid w:val="0069712C"/>
    <w:rsid w:val="00697150"/>
    <w:rsid w:val="006976B4"/>
    <w:rsid w:val="00697704"/>
    <w:rsid w:val="00697980"/>
    <w:rsid w:val="00697A12"/>
    <w:rsid w:val="00697AE1"/>
    <w:rsid w:val="00697B7F"/>
    <w:rsid w:val="00697C1D"/>
    <w:rsid w:val="00697E9B"/>
    <w:rsid w:val="006A049C"/>
    <w:rsid w:val="006A0558"/>
    <w:rsid w:val="006A0576"/>
    <w:rsid w:val="006A0845"/>
    <w:rsid w:val="006A1116"/>
    <w:rsid w:val="006A11CA"/>
    <w:rsid w:val="006A1438"/>
    <w:rsid w:val="006A14E1"/>
    <w:rsid w:val="006A168F"/>
    <w:rsid w:val="006A1800"/>
    <w:rsid w:val="006A19ED"/>
    <w:rsid w:val="006A1E3B"/>
    <w:rsid w:val="006A1F63"/>
    <w:rsid w:val="006A20DC"/>
    <w:rsid w:val="006A25BB"/>
    <w:rsid w:val="006A2A1D"/>
    <w:rsid w:val="006A2A48"/>
    <w:rsid w:val="006A2CA1"/>
    <w:rsid w:val="006A2FDF"/>
    <w:rsid w:val="006A313E"/>
    <w:rsid w:val="006A3250"/>
    <w:rsid w:val="006A3375"/>
    <w:rsid w:val="006A360E"/>
    <w:rsid w:val="006A3955"/>
    <w:rsid w:val="006A3964"/>
    <w:rsid w:val="006A3C83"/>
    <w:rsid w:val="006A444D"/>
    <w:rsid w:val="006A47AA"/>
    <w:rsid w:val="006A4A02"/>
    <w:rsid w:val="006A4A44"/>
    <w:rsid w:val="006A4B54"/>
    <w:rsid w:val="006A4B55"/>
    <w:rsid w:val="006A4BDB"/>
    <w:rsid w:val="006A4D91"/>
    <w:rsid w:val="006A50D8"/>
    <w:rsid w:val="006A52BB"/>
    <w:rsid w:val="006A53CF"/>
    <w:rsid w:val="006A5915"/>
    <w:rsid w:val="006A597F"/>
    <w:rsid w:val="006A5B07"/>
    <w:rsid w:val="006A5DF5"/>
    <w:rsid w:val="006A5E16"/>
    <w:rsid w:val="006A6319"/>
    <w:rsid w:val="006A655C"/>
    <w:rsid w:val="006A6560"/>
    <w:rsid w:val="006A66EC"/>
    <w:rsid w:val="006A684B"/>
    <w:rsid w:val="006A6956"/>
    <w:rsid w:val="006A6984"/>
    <w:rsid w:val="006A6B5E"/>
    <w:rsid w:val="006A6B74"/>
    <w:rsid w:val="006A6B9B"/>
    <w:rsid w:val="006A6C99"/>
    <w:rsid w:val="006A6FEA"/>
    <w:rsid w:val="006A7147"/>
    <w:rsid w:val="006A71FE"/>
    <w:rsid w:val="006A7321"/>
    <w:rsid w:val="006A7784"/>
    <w:rsid w:val="006A791B"/>
    <w:rsid w:val="006A7994"/>
    <w:rsid w:val="006A7A87"/>
    <w:rsid w:val="006A7C93"/>
    <w:rsid w:val="006A7CC3"/>
    <w:rsid w:val="006B0453"/>
    <w:rsid w:val="006B090E"/>
    <w:rsid w:val="006B0B2B"/>
    <w:rsid w:val="006B0B90"/>
    <w:rsid w:val="006B0C14"/>
    <w:rsid w:val="006B0C60"/>
    <w:rsid w:val="006B0FDD"/>
    <w:rsid w:val="006B14EA"/>
    <w:rsid w:val="006B1654"/>
    <w:rsid w:val="006B1695"/>
    <w:rsid w:val="006B1A65"/>
    <w:rsid w:val="006B1E75"/>
    <w:rsid w:val="006B1F53"/>
    <w:rsid w:val="006B1F78"/>
    <w:rsid w:val="006B2008"/>
    <w:rsid w:val="006B2297"/>
    <w:rsid w:val="006B2350"/>
    <w:rsid w:val="006B27A1"/>
    <w:rsid w:val="006B27DE"/>
    <w:rsid w:val="006B2838"/>
    <w:rsid w:val="006B2B1E"/>
    <w:rsid w:val="006B2BD9"/>
    <w:rsid w:val="006B2F2F"/>
    <w:rsid w:val="006B3234"/>
    <w:rsid w:val="006B33BA"/>
    <w:rsid w:val="006B358A"/>
    <w:rsid w:val="006B3727"/>
    <w:rsid w:val="006B40AA"/>
    <w:rsid w:val="006B417E"/>
    <w:rsid w:val="006B432B"/>
    <w:rsid w:val="006B436D"/>
    <w:rsid w:val="006B4642"/>
    <w:rsid w:val="006B4A0C"/>
    <w:rsid w:val="006B4A53"/>
    <w:rsid w:val="006B4F46"/>
    <w:rsid w:val="006B51ED"/>
    <w:rsid w:val="006B5248"/>
    <w:rsid w:val="006B5331"/>
    <w:rsid w:val="006B547E"/>
    <w:rsid w:val="006B5532"/>
    <w:rsid w:val="006B5BFD"/>
    <w:rsid w:val="006B5DA9"/>
    <w:rsid w:val="006B5EB1"/>
    <w:rsid w:val="006B6115"/>
    <w:rsid w:val="006B636B"/>
    <w:rsid w:val="006B64FF"/>
    <w:rsid w:val="006B6530"/>
    <w:rsid w:val="006B6566"/>
    <w:rsid w:val="006B6589"/>
    <w:rsid w:val="006B6A13"/>
    <w:rsid w:val="006B6C86"/>
    <w:rsid w:val="006B7928"/>
    <w:rsid w:val="006C00B3"/>
    <w:rsid w:val="006C00FD"/>
    <w:rsid w:val="006C0284"/>
    <w:rsid w:val="006C0475"/>
    <w:rsid w:val="006C09DC"/>
    <w:rsid w:val="006C0A56"/>
    <w:rsid w:val="006C0ADF"/>
    <w:rsid w:val="006C0D58"/>
    <w:rsid w:val="006C0E04"/>
    <w:rsid w:val="006C0E09"/>
    <w:rsid w:val="006C0EFA"/>
    <w:rsid w:val="006C0F62"/>
    <w:rsid w:val="006C0F64"/>
    <w:rsid w:val="006C1065"/>
    <w:rsid w:val="006C10C4"/>
    <w:rsid w:val="006C142E"/>
    <w:rsid w:val="006C17E4"/>
    <w:rsid w:val="006C1809"/>
    <w:rsid w:val="006C1933"/>
    <w:rsid w:val="006C1B74"/>
    <w:rsid w:val="006C1CBD"/>
    <w:rsid w:val="006C1F22"/>
    <w:rsid w:val="006C20D0"/>
    <w:rsid w:val="006C25CB"/>
    <w:rsid w:val="006C29CE"/>
    <w:rsid w:val="006C29DB"/>
    <w:rsid w:val="006C2A4F"/>
    <w:rsid w:val="006C2A63"/>
    <w:rsid w:val="006C3100"/>
    <w:rsid w:val="006C34ED"/>
    <w:rsid w:val="006C3673"/>
    <w:rsid w:val="006C3748"/>
    <w:rsid w:val="006C387D"/>
    <w:rsid w:val="006C3B0D"/>
    <w:rsid w:val="006C3BA5"/>
    <w:rsid w:val="006C3D77"/>
    <w:rsid w:val="006C3EAB"/>
    <w:rsid w:val="006C3FC4"/>
    <w:rsid w:val="006C400E"/>
    <w:rsid w:val="006C5436"/>
    <w:rsid w:val="006C547D"/>
    <w:rsid w:val="006C5614"/>
    <w:rsid w:val="006C5744"/>
    <w:rsid w:val="006C5C88"/>
    <w:rsid w:val="006C5DD6"/>
    <w:rsid w:val="006C5FF0"/>
    <w:rsid w:val="006C6206"/>
    <w:rsid w:val="006C65E2"/>
    <w:rsid w:val="006C681E"/>
    <w:rsid w:val="006C6AB1"/>
    <w:rsid w:val="006C703C"/>
    <w:rsid w:val="006C7179"/>
    <w:rsid w:val="006C7450"/>
    <w:rsid w:val="006C780E"/>
    <w:rsid w:val="006C7AA5"/>
    <w:rsid w:val="006C7C72"/>
    <w:rsid w:val="006C7C96"/>
    <w:rsid w:val="006C7F83"/>
    <w:rsid w:val="006D02FF"/>
    <w:rsid w:val="006D0484"/>
    <w:rsid w:val="006D0558"/>
    <w:rsid w:val="006D0E0D"/>
    <w:rsid w:val="006D189E"/>
    <w:rsid w:val="006D1A49"/>
    <w:rsid w:val="006D1BC1"/>
    <w:rsid w:val="006D1C39"/>
    <w:rsid w:val="006D1E35"/>
    <w:rsid w:val="006D2321"/>
    <w:rsid w:val="006D2491"/>
    <w:rsid w:val="006D2777"/>
    <w:rsid w:val="006D2AB2"/>
    <w:rsid w:val="006D2ACB"/>
    <w:rsid w:val="006D2B86"/>
    <w:rsid w:val="006D2D30"/>
    <w:rsid w:val="006D335B"/>
    <w:rsid w:val="006D3476"/>
    <w:rsid w:val="006D34D7"/>
    <w:rsid w:val="006D389C"/>
    <w:rsid w:val="006D3C99"/>
    <w:rsid w:val="006D3CEA"/>
    <w:rsid w:val="006D3E61"/>
    <w:rsid w:val="006D3F39"/>
    <w:rsid w:val="006D42CD"/>
    <w:rsid w:val="006D4488"/>
    <w:rsid w:val="006D452D"/>
    <w:rsid w:val="006D4781"/>
    <w:rsid w:val="006D48EB"/>
    <w:rsid w:val="006D4969"/>
    <w:rsid w:val="006D496D"/>
    <w:rsid w:val="006D546F"/>
    <w:rsid w:val="006D5711"/>
    <w:rsid w:val="006D574F"/>
    <w:rsid w:val="006D5AC0"/>
    <w:rsid w:val="006D6048"/>
    <w:rsid w:val="006D6456"/>
    <w:rsid w:val="006D64A4"/>
    <w:rsid w:val="006D6782"/>
    <w:rsid w:val="006D6F6C"/>
    <w:rsid w:val="006D74C2"/>
    <w:rsid w:val="006D7963"/>
    <w:rsid w:val="006D79DA"/>
    <w:rsid w:val="006D7B1C"/>
    <w:rsid w:val="006D7B48"/>
    <w:rsid w:val="006E011C"/>
    <w:rsid w:val="006E026E"/>
    <w:rsid w:val="006E04A8"/>
    <w:rsid w:val="006E0951"/>
    <w:rsid w:val="006E0DC7"/>
    <w:rsid w:val="006E11DB"/>
    <w:rsid w:val="006E151D"/>
    <w:rsid w:val="006E1949"/>
    <w:rsid w:val="006E19CD"/>
    <w:rsid w:val="006E1B98"/>
    <w:rsid w:val="006E1E4C"/>
    <w:rsid w:val="006E2619"/>
    <w:rsid w:val="006E29C6"/>
    <w:rsid w:val="006E2FC7"/>
    <w:rsid w:val="006E3231"/>
    <w:rsid w:val="006E328A"/>
    <w:rsid w:val="006E3530"/>
    <w:rsid w:val="006E3C00"/>
    <w:rsid w:val="006E3E89"/>
    <w:rsid w:val="006E3E9A"/>
    <w:rsid w:val="006E3F94"/>
    <w:rsid w:val="006E411F"/>
    <w:rsid w:val="006E4389"/>
    <w:rsid w:val="006E4480"/>
    <w:rsid w:val="006E484D"/>
    <w:rsid w:val="006E488B"/>
    <w:rsid w:val="006E4BA8"/>
    <w:rsid w:val="006E4CD8"/>
    <w:rsid w:val="006E5105"/>
    <w:rsid w:val="006E58AB"/>
    <w:rsid w:val="006E59AF"/>
    <w:rsid w:val="006E59F1"/>
    <w:rsid w:val="006E5BC7"/>
    <w:rsid w:val="006E5C1F"/>
    <w:rsid w:val="006E6169"/>
    <w:rsid w:val="006E6432"/>
    <w:rsid w:val="006E6678"/>
    <w:rsid w:val="006E6920"/>
    <w:rsid w:val="006E6CDE"/>
    <w:rsid w:val="006E6FC9"/>
    <w:rsid w:val="006E7057"/>
    <w:rsid w:val="006E7175"/>
    <w:rsid w:val="006E7240"/>
    <w:rsid w:val="006E72A9"/>
    <w:rsid w:val="006E79E4"/>
    <w:rsid w:val="006E7DB7"/>
    <w:rsid w:val="006E7E0F"/>
    <w:rsid w:val="006E7FE2"/>
    <w:rsid w:val="006F0287"/>
    <w:rsid w:val="006F06B9"/>
    <w:rsid w:val="006F06BF"/>
    <w:rsid w:val="006F07C6"/>
    <w:rsid w:val="006F0FDE"/>
    <w:rsid w:val="006F1052"/>
    <w:rsid w:val="006F118E"/>
    <w:rsid w:val="006F11AA"/>
    <w:rsid w:val="006F127F"/>
    <w:rsid w:val="006F1445"/>
    <w:rsid w:val="006F1752"/>
    <w:rsid w:val="006F1B63"/>
    <w:rsid w:val="006F1DFC"/>
    <w:rsid w:val="006F1E59"/>
    <w:rsid w:val="006F20CB"/>
    <w:rsid w:val="006F26DD"/>
    <w:rsid w:val="006F294E"/>
    <w:rsid w:val="006F29ED"/>
    <w:rsid w:val="006F3021"/>
    <w:rsid w:val="006F337E"/>
    <w:rsid w:val="006F3443"/>
    <w:rsid w:val="006F3B24"/>
    <w:rsid w:val="006F3B81"/>
    <w:rsid w:val="006F3E94"/>
    <w:rsid w:val="006F42A6"/>
    <w:rsid w:val="006F4676"/>
    <w:rsid w:val="006F4897"/>
    <w:rsid w:val="006F54ED"/>
    <w:rsid w:val="006F5550"/>
    <w:rsid w:val="006F56D3"/>
    <w:rsid w:val="006F57A3"/>
    <w:rsid w:val="006F5E0B"/>
    <w:rsid w:val="006F605D"/>
    <w:rsid w:val="006F61EE"/>
    <w:rsid w:val="006F6F17"/>
    <w:rsid w:val="006F7098"/>
    <w:rsid w:val="006F70A0"/>
    <w:rsid w:val="006F70F4"/>
    <w:rsid w:val="006F7236"/>
    <w:rsid w:val="006F7382"/>
    <w:rsid w:val="006F73EE"/>
    <w:rsid w:val="006F7855"/>
    <w:rsid w:val="006F7883"/>
    <w:rsid w:val="006F7956"/>
    <w:rsid w:val="006F79BF"/>
    <w:rsid w:val="006F7CC8"/>
    <w:rsid w:val="00700181"/>
    <w:rsid w:val="00700472"/>
    <w:rsid w:val="007005F0"/>
    <w:rsid w:val="007008D0"/>
    <w:rsid w:val="00700D40"/>
    <w:rsid w:val="007010F1"/>
    <w:rsid w:val="0070110E"/>
    <w:rsid w:val="00701174"/>
    <w:rsid w:val="00701497"/>
    <w:rsid w:val="00701866"/>
    <w:rsid w:val="00701A1E"/>
    <w:rsid w:val="00701E8A"/>
    <w:rsid w:val="00701FBE"/>
    <w:rsid w:val="00702030"/>
    <w:rsid w:val="00702124"/>
    <w:rsid w:val="00702260"/>
    <w:rsid w:val="007022B6"/>
    <w:rsid w:val="0070287C"/>
    <w:rsid w:val="007028BF"/>
    <w:rsid w:val="007028DB"/>
    <w:rsid w:val="00702BBF"/>
    <w:rsid w:val="00702C6A"/>
    <w:rsid w:val="00702D7B"/>
    <w:rsid w:val="00702E23"/>
    <w:rsid w:val="00702EF2"/>
    <w:rsid w:val="00702F01"/>
    <w:rsid w:val="00702FDE"/>
    <w:rsid w:val="0070306B"/>
    <w:rsid w:val="00703334"/>
    <w:rsid w:val="007034A5"/>
    <w:rsid w:val="00703D76"/>
    <w:rsid w:val="00704305"/>
    <w:rsid w:val="007044E7"/>
    <w:rsid w:val="00704693"/>
    <w:rsid w:val="00704742"/>
    <w:rsid w:val="0070483B"/>
    <w:rsid w:val="007048F3"/>
    <w:rsid w:val="00704A36"/>
    <w:rsid w:val="00704D92"/>
    <w:rsid w:val="00704FAF"/>
    <w:rsid w:val="0070519C"/>
    <w:rsid w:val="00705211"/>
    <w:rsid w:val="00705678"/>
    <w:rsid w:val="00705975"/>
    <w:rsid w:val="007060C7"/>
    <w:rsid w:val="007062D5"/>
    <w:rsid w:val="007063E1"/>
    <w:rsid w:val="00706AA0"/>
    <w:rsid w:val="00706BAA"/>
    <w:rsid w:val="00706C1A"/>
    <w:rsid w:val="00706C4C"/>
    <w:rsid w:val="00706D9B"/>
    <w:rsid w:val="00707080"/>
    <w:rsid w:val="00707140"/>
    <w:rsid w:val="00707173"/>
    <w:rsid w:val="007071B1"/>
    <w:rsid w:val="00707211"/>
    <w:rsid w:val="007073A0"/>
    <w:rsid w:val="00707468"/>
    <w:rsid w:val="0070785D"/>
    <w:rsid w:val="00707897"/>
    <w:rsid w:val="0070792D"/>
    <w:rsid w:val="00707AD5"/>
    <w:rsid w:val="00707F70"/>
    <w:rsid w:val="0071023B"/>
    <w:rsid w:val="00710512"/>
    <w:rsid w:val="00710815"/>
    <w:rsid w:val="00710CA3"/>
    <w:rsid w:val="00710D03"/>
    <w:rsid w:val="00711060"/>
    <w:rsid w:val="0071138C"/>
    <w:rsid w:val="007118B9"/>
    <w:rsid w:val="0071192B"/>
    <w:rsid w:val="00711A65"/>
    <w:rsid w:val="00711B1E"/>
    <w:rsid w:val="00711EEE"/>
    <w:rsid w:val="007121D3"/>
    <w:rsid w:val="00712359"/>
    <w:rsid w:val="007124CE"/>
    <w:rsid w:val="00712612"/>
    <w:rsid w:val="00712714"/>
    <w:rsid w:val="00712E17"/>
    <w:rsid w:val="00713647"/>
    <w:rsid w:val="00713C12"/>
    <w:rsid w:val="00713D36"/>
    <w:rsid w:val="00713F88"/>
    <w:rsid w:val="00714814"/>
    <w:rsid w:val="00714C7F"/>
    <w:rsid w:val="00714DE4"/>
    <w:rsid w:val="00714E93"/>
    <w:rsid w:val="00715166"/>
    <w:rsid w:val="007155A4"/>
    <w:rsid w:val="00715965"/>
    <w:rsid w:val="007159A6"/>
    <w:rsid w:val="00715A1C"/>
    <w:rsid w:val="00715BFE"/>
    <w:rsid w:val="00715EBB"/>
    <w:rsid w:val="0071607C"/>
    <w:rsid w:val="007161F6"/>
    <w:rsid w:val="0071645B"/>
    <w:rsid w:val="007165F8"/>
    <w:rsid w:val="0071681D"/>
    <w:rsid w:val="00716A34"/>
    <w:rsid w:val="00716B8E"/>
    <w:rsid w:val="00716E92"/>
    <w:rsid w:val="0071761A"/>
    <w:rsid w:val="00717742"/>
    <w:rsid w:val="00717988"/>
    <w:rsid w:val="00717B8A"/>
    <w:rsid w:val="00717CF2"/>
    <w:rsid w:val="00717D17"/>
    <w:rsid w:val="007205DE"/>
    <w:rsid w:val="00720B83"/>
    <w:rsid w:val="00720CEC"/>
    <w:rsid w:val="00720E1C"/>
    <w:rsid w:val="00720F0C"/>
    <w:rsid w:val="00720F76"/>
    <w:rsid w:val="00721024"/>
    <w:rsid w:val="0072118B"/>
    <w:rsid w:val="0072150D"/>
    <w:rsid w:val="0072178A"/>
    <w:rsid w:val="00721FF4"/>
    <w:rsid w:val="00722082"/>
    <w:rsid w:val="00722142"/>
    <w:rsid w:val="00722180"/>
    <w:rsid w:val="00722561"/>
    <w:rsid w:val="007228F1"/>
    <w:rsid w:val="007228F9"/>
    <w:rsid w:val="00722C37"/>
    <w:rsid w:val="00722EF1"/>
    <w:rsid w:val="00722EF3"/>
    <w:rsid w:val="0072353E"/>
    <w:rsid w:val="007236CC"/>
    <w:rsid w:val="00723CDF"/>
    <w:rsid w:val="00723E3D"/>
    <w:rsid w:val="007240F3"/>
    <w:rsid w:val="0072449E"/>
    <w:rsid w:val="007244A4"/>
    <w:rsid w:val="00724A52"/>
    <w:rsid w:val="00724C26"/>
    <w:rsid w:val="00725667"/>
    <w:rsid w:val="007257BD"/>
    <w:rsid w:val="00725E89"/>
    <w:rsid w:val="00726066"/>
    <w:rsid w:val="007265A9"/>
    <w:rsid w:val="00726807"/>
    <w:rsid w:val="00726CAE"/>
    <w:rsid w:val="007271E1"/>
    <w:rsid w:val="00727845"/>
    <w:rsid w:val="0072788E"/>
    <w:rsid w:val="00727A4A"/>
    <w:rsid w:val="00727CE0"/>
    <w:rsid w:val="007302DA"/>
    <w:rsid w:val="00730A00"/>
    <w:rsid w:val="00730B12"/>
    <w:rsid w:val="00730B35"/>
    <w:rsid w:val="00730CDA"/>
    <w:rsid w:val="00730F97"/>
    <w:rsid w:val="007312B4"/>
    <w:rsid w:val="00731AF9"/>
    <w:rsid w:val="00731DA9"/>
    <w:rsid w:val="00731FA7"/>
    <w:rsid w:val="0073202B"/>
    <w:rsid w:val="00732128"/>
    <w:rsid w:val="00732522"/>
    <w:rsid w:val="0073255C"/>
    <w:rsid w:val="00732610"/>
    <w:rsid w:val="00732C9E"/>
    <w:rsid w:val="00733539"/>
    <w:rsid w:val="007339AE"/>
    <w:rsid w:val="00733A01"/>
    <w:rsid w:val="00733B12"/>
    <w:rsid w:val="00733CFB"/>
    <w:rsid w:val="00734279"/>
    <w:rsid w:val="007343A6"/>
    <w:rsid w:val="00734428"/>
    <w:rsid w:val="00734B6D"/>
    <w:rsid w:val="00734DD2"/>
    <w:rsid w:val="00734E17"/>
    <w:rsid w:val="00734F6A"/>
    <w:rsid w:val="0073573C"/>
    <w:rsid w:val="00735A01"/>
    <w:rsid w:val="0073626D"/>
    <w:rsid w:val="007363C9"/>
    <w:rsid w:val="00736445"/>
    <w:rsid w:val="0073647E"/>
    <w:rsid w:val="0073666C"/>
    <w:rsid w:val="0073677B"/>
    <w:rsid w:val="00736884"/>
    <w:rsid w:val="00736A84"/>
    <w:rsid w:val="007370C1"/>
    <w:rsid w:val="007373F0"/>
    <w:rsid w:val="00737448"/>
    <w:rsid w:val="00737584"/>
    <w:rsid w:val="007379A9"/>
    <w:rsid w:val="00737B21"/>
    <w:rsid w:val="00737CAF"/>
    <w:rsid w:val="00737CB1"/>
    <w:rsid w:val="00740222"/>
    <w:rsid w:val="0074038D"/>
    <w:rsid w:val="007403DE"/>
    <w:rsid w:val="00740453"/>
    <w:rsid w:val="007405FB"/>
    <w:rsid w:val="007406E0"/>
    <w:rsid w:val="007407AF"/>
    <w:rsid w:val="00740B54"/>
    <w:rsid w:val="00740C3E"/>
    <w:rsid w:val="00740C84"/>
    <w:rsid w:val="00740D56"/>
    <w:rsid w:val="00740F15"/>
    <w:rsid w:val="00740FFC"/>
    <w:rsid w:val="007410F1"/>
    <w:rsid w:val="007413D1"/>
    <w:rsid w:val="0074192E"/>
    <w:rsid w:val="00741F43"/>
    <w:rsid w:val="00742024"/>
    <w:rsid w:val="00742095"/>
    <w:rsid w:val="0074227B"/>
    <w:rsid w:val="00742322"/>
    <w:rsid w:val="00742462"/>
    <w:rsid w:val="00742A0C"/>
    <w:rsid w:val="00742B3F"/>
    <w:rsid w:val="00742F66"/>
    <w:rsid w:val="00742FC5"/>
    <w:rsid w:val="007431CD"/>
    <w:rsid w:val="00743556"/>
    <w:rsid w:val="00743A65"/>
    <w:rsid w:val="00743DB6"/>
    <w:rsid w:val="007440EB"/>
    <w:rsid w:val="00744116"/>
    <w:rsid w:val="00744372"/>
    <w:rsid w:val="00744572"/>
    <w:rsid w:val="0074474F"/>
    <w:rsid w:val="007452F4"/>
    <w:rsid w:val="0074559E"/>
    <w:rsid w:val="00745A53"/>
    <w:rsid w:val="00745B99"/>
    <w:rsid w:val="00746075"/>
    <w:rsid w:val="00746B1D"/>
    <w:rsid w:val="00746C77"/>
    <w:rsid w:val="00746DDF"/>
    <w:rsid w:val="007470BB"/>
    <w:rsid w:val="00747816"/>
    <w:rsid w:val="00747C2C"/>
    <w:rsid w:val="00747C47"/>
    <w:rsid w:val="00747CD1"/>
    <w:rsid w:val="00747E8A"/>
    <w:rsid w:val="00747EDD"/>
    <w:rsid w:val="00750177"/>
    <w:rsid w:val="0075019F"/>
    <w:rsid w:val="0075074E"/>
    <w:rsid w:val="00750760"/>
    <w:rsid w:val="00750815"/>
    <w:rsid w:val="00750ABB"/>
    <w:rsid w:val="00750D81"/>
    <w:rsid w:val="00751150"/>
    <w:rsid w:val="007517C1"/>
    <w:rsid w:val="0075196E"/>
    <w:rsid w:val="00751A79"/>
    <w:rsid w:val="00751F73"/>
    <w:rsid w:val="00751FF7"/>
    <w:rsid w:val="00752108"/>
    <w:rsid w:val="007521BD"/>
    <w:rsid w:val="007521DA"/>
    <w:rsid w:val="0075268D"/>
    <w:rsid w:val="007526A1"/>
    <w:rsid w:val="00752AE2"/>
    <w:rsid w:val="00752BB7"/>
    <w:rsid w:val="00752C01"/>
    <w:rsid w:val="00752F2B"/>
    <w:rsid w:val="00753477"/>
    <w:rsid w:val="0075349E"/>
    <w:rsid w:val="007536AE"/>
    <w:rsid w:val="007536C1"/>
    <w:rsid w:val="007537F8"/>
    <w:rsid w:val="00753971"/>
    <w:rsid w:val="00753C02"/>
    <w:rsid w:val="00753E22"/>
    <w:rsid w:val="00753ED4"/>
    <w:rsid w:val="00753F3F"/>
    <w:rsid w:val="007543A0"/>
    <w:rsid w:val="00754484"/>
    <w:rsid w:val="007546BB"/>
    <w:rsid w:val="0075472F"/>
    <w:rsid w:val="0075482A"/>
    <w:rsid w:val="00754A83"/>
    <w:rsid w:val="00754EB5"/>
    <w:rsid w:val="0075512B"/>
    <w:rsid w:val="00755235"/>
    <w:rsid w:val="00755381"/>
    <w:rsid w:val="00755524"/>
    <w:rsid w:val="00755C14"/>
    <w:rsid w:val="00755D9F"/>
    <w:rsid w:val="00756513"/>
    <w:rsid w:val="00756D2B"/>
    <w:rsid w:val="00756EFE"/>
    <w:rsid w:val="00757088"/>
    <w:rsid w:val="007574BD"/>
    <w:rsid w:val="0075AF72"/>
    <w:rsid w:val="00760066"/>
    <w:rsid w:val="0076017B"/>
    <w:rsid w:val="0076017C"/>
    <w:rsid w:val="0076044E"/>
    <w:rsid w:val="00760A7F"/>
    <w:rsid w:val="00760A9C"/>
    <w:rsid w:val="0076137A"/>
    <w:rsid w:val="00761C9C"/>
    <w:rsid w:val="00761D7A"/>
    <w:rsid w:val="00761EE6"/>
    <w:rsid w:val="00762220"/>
    <w:rsid w:val="00762801"/>
    <w:rsid w:val="00762957"/>
    <w:rsid w:val="00762B4C"/>
    <w:rsid w:val="0076312F"/>
    <w:rsid w:val="0076329C"/>
    <w:rsid w:val="00763493"/>
    <w:rsid w:val="007639F7"/>
    <w:rsid w:val="00763D6F"/>
    <w:rsid w:val="00763FC4"/>
    <w:rsid w:val="00763FFA"/>
    <w:rsid w:val="0076416F"/>
    <w:rsid w:val="00764285"/>
    <w:rsid w:val="007645BB"/>
    <w:rsid w:val="007645E7"/>
    <w:rsid w:val="0076468B"/>
    <w:rsid w:val="007646A3"/>
    <w:rsid w:val="00764831"/>
    <w:rsid w:val="00764931"/>
    <w:rsid w:val="00764B89"/>
    <w:rsid w:val="00764EBD"/>
    <w:rsid w:val="00764F65"/>
    <w:rsid w:val="00765853"/>
    <w:rsid w:val="00765FC8"/>
    <w:rsid w:val="00766357"/>
    <w:rsid w:val="00766705"/>
    <w:rsid w:val="007667C1"/>
    <w:rsid w:val="00766942"/>
    <w:rsid w:val="0076697E"/>
    <w:rsid w:val="007669F8"/>
    <w:rsid w:val="00766A65"/>
    <w:rsid w:val="00766BE5"/>
    <w:rsid w:val="00766BF4"/>
    <w:rsid w:val="00766F3A"/>
    <w:rsid w:val="00766F53"/>
    <w:rsid w:val="00766F81"/>
    <w:rsid w:val="007670E3"/>
    <w:rsid w:val="007678E0"/>
    <w:rsid w:val="00767A59"/>
    <w:rsid w:val="00767DCA"/>
    <w:rsid w:val="007700D9"/>
    <w:rsid w:val="007702BB"/>
    <w:rsid w:val="0077030D"/>
    <w:rsid w:val="007703EA"/>
    <w:rsid w:val="00770A12"/>
    <w:rsid w:val="00770A23"/>
    <w:rsid w:val="00770ABE"/>
    <w:rsid w:val="00770B1A"/>
    <w:rsid w:val="00770BC9"/>
    <w:rsid w:val="00770CEA"/>
    <w:rsid w:val="00771222"/>
    <w:rsid w:val="0077130D"/>
    <w:rsid w:val="007713EA"/>
    <w:rsid w:val="007716C2"/>
    <w:rsid w:val="00772133"/>
    <w:rsid w:val="00772165"/>
    <w:rsid w:val="00772279"/>
    <w:rsid w:val="00772461"/>
    <w:rsid w:val="007727B5"/>
    <w:rsid w:val="00772950"/>
    <w:rsid w:val="00772F99"/>
    <w:rsid w:val="00773398"/>
    <w:rsid w:val="007734CD"/>
    <w:rsid w:val="00773773"/>
    <w:rsid w:val="00774021"/>
    <w:rsid w:val="0077422B"/>
    <w:rsid w:val="00774593"/>
    <w:rsid w:val="0077464B"/>
    <w:rsid w:val="00774695"/>
    <w:rsid w:val="0077527B"/>
    <w:rsid w:val="00775395"/>
    <w:rsid w:val="00775886"/>
    <w:rsid w:val="00776269"/>
    <w:rsid w:val="00776651"/>
    <w:rsid w:val="0077680B"/>
    <w:rsid w:val="00776990"/>
    <w:rsid w:val="00776B16"/>
    <w:rsid w:val="00776B44"/>
    <w:rsid w:val="00776CF8"/>
    <w:rsid w:val="00776D50"/>
    <w:rsid w:val="00776EDE"/>
    <w:rsid w:val="00776FE3"/>
    <w:rsid w:val="00777692"/>
    <w:rsid w:val="00777693"/>
    <w:rsid w:val="00777C3C"/>
    <w:rsid w:val="00777FB7"/>
    <w:rsid w:val="007805E2"/>
    <w:rsid w:val="00780788"/>
    <w:rsid w:val="007807C9"/>
    <w:rsid w:val="0078082E"/>
    <w:rsid w:val="00780868"/>
    <w:rsid w:val="00780B9C"/>
    <w:rsid w:val="00780DC4"/>
    <w:rsid w:val="00780E00"/>
    <w:rsid w:val="0078109D"/>
    <w:rsid w:val="007815ED"/>
    <w:rsid w:val="00781739"/>
    <w:rsid w:val="0078178A"/>
    <w:rsid w:val="007818F8"/>
    <w:rsid w:val="007822CB"/>
    <w:rsid w:val="007828DD"/>
    <w:rsid w:val="00782E4E"/>
    <w:rsid w:val="00782FA8"/>
    <w:rsid w:val="00783086"/>
    <w:rsid w:val="00783282"/>
    <w:rsid w:val="0078351D"/>
    <w:rsid w:val="00783602"/>
    <w:rsid w:val="0078368A"/>
    <w:rsid w:val="00783790"/>
    <w:rsid w:val="00783AC2"/>
    <w:rsid w:val="00784361"/>
    <w:rsid w:val="00784463"/>
    <w:rsid w:val="00784600"/>
    <w:rsid w:val="00784790"/>
    <w:rsid w:val="0078546C"/>
    <w:rsid w:val="00785595"/>
    <w:rsid w:val="00785914"/>
    <w:rsid w:val="00785D64"/>
    <w:rsid w:val="0078631E"/>
    <w:rsid w:val="0078634C"/>
    <w:rsid w:val="00786C56"/>
    <w:rsid w:val="00786F66"/>
    <w:rsid w:val="00786F7C"/>
    <w:rsid w:val="00787522"/>
    <w:rsid w:val="00787754"/>
    <w:rsid w:val="007878D3"/>
    <w:rsid w:val="0078793B"/>
    <w:rsid w:val="00787D97"/>
    <w:rsid w:val="00787DBC"/>
    <w:rsid w:val="007901EC"/>
    <w:rsid w:val="0079036A"/>
    <w:rsid w:val="0079038F"/>
    <w:rsid w:val="00790A00"/>
    <w:rsid w:val="00790A12"/>
    <w:rsid w:val="00790B19"/>
    <w:rsid w:val="00790BE7"/>
    <w:rsid w:val="00790F35"/>
    <w:rsid w:val="00790F90"/>
    <w:rsid w:val="00790FAF"/>
    <w:rsid w:val="00791257"/>
    <w:rsid w:val="007916F0"/>
    <w:rsid w:val="00791A70"/>
    <w:rsid w:val="00791F72"/>
    <w:rsid w:val="00792106"/>
    <w:rsid w:val="00792259"/>
    <w:rsid w:val="00792BCD"/>
    <w:rsid w:val="00792DEC"/>
    <w:rsid w:val="007939DA"/>
    <w:rsid w:val="00793B8C"/>
    <w:rsid w:val="00794051"/>
    <w:rsid w:val="0079416C"/>
    <w:rsid w:val="007942DD"/>
    <w:rsid w:val="00794598"/>
    <w:rsid w:val="0079472C"/>
    <w:rsid w:val="00794A28"/>
    <w:rsid w:val="00794A5A"/>
    <w:rsid w:val="00795175"/>
    <w:rsid w:val="0079531D"/>
    <w:rsid w:val="007953C3"/>
    <w:rsid w:val="007953FF"/>
    <w:rsid w:val="007955B8"/>
    <w:rsid w:val="00795A17"/>
    <w:rsid w:val="00795E0B"/>
    <w:rsid w:val="00796319"/>
    <w:rsid w:val="007964FD"/>
    <w:rsid w:val="00796539"/>
    <w:rsid w:val="0079674C"/>
    <w:rsid w:val="00796B83"/>
    <w:rsid w:val="00796E91"/>
    <w:rsid w:val="00796F2E"/>
    <w:rsid w:val="00797262"/>
    <w:rsid w:val="007973AB"/>
    <w:rsid w:val="00797418"/>
    <w:rsid w:val="00797470"/>
    <w:rsid w:val="007974B9"/>
    <w:rsid w:val="007974F4"/>
    <w:rsid w:val="00797502"/>
    <w:rsid w:val="00797722"/>
    <w:rsid w:val="00797935"/>
    <w:rsid w:val="00797CEF"/>
    <w:rsid w:val="007A0788"/>
    <w:rsid w:val="007A07CA"/>
    <w:rsid w:val="007A0ECA"/>
    <w:rsid w:val="007A10DC"/>
    <w:rsid w:val="007A12AD"/>
    <w:rsid w:val="007A12FE"/>
    <w:rsid w:val="007A130E"/>
    <w:rsid w:val="007A14A3"/>
    <w:rsid w:val="007A1881"/>
    <w:rsid w:val="007A1B31"/>
    <w:rsid w:val="007A2F9F"/>
    <w:rsid w:val="007A308B"/>
    <w:rsid w:val="007A3669"/>
    <w:rsid w:val="007A36AB"/>
    <w:rsid w:val="007A3C93"/>
    <w:rsid w:val="007A450B"/>
    <w:rsid w:val="007A4558"/>
    <w:rsid w:val="007A46B7"/>
    <w:rsid w:val="007A46FC"/>
    <w:rsid w:val="007A4ABD"/>
    <w:rsid w:val="007A4B03"/>
    <w:rsid w:val="007A4BBD"/>
    <w:rsid w:val="007A4CA0"/>
    <w:rsid w:val="007A4FF6"/>
    <w:rsid w:val="007A5341"/>
    <w:rsid w:val="007A57ED"/>
    <w:rsid w:val="007A58E5"/>
    <w:rsid w:val="007A5C72"/>
    <w:rsid w:val="007A5E6E"/>
    <w:rsid w:val="007A5F9E"/>
    <w:rsid w:val="007A6A8E"/>
    <w:rsid w:val="007A701B"/>
    <w:rsid w:val="007A726E"/>
    <w:rsid w:val="007A7626"/>
    <w:rsid w:val="007A7AA5"/>
    <w:rsid w:val="007A7D61"/>
    <w:rsid w:val="007A7E0B"/>
    <w:rsid w:val="007A7EFF"/>
    <w:rsid w:val="007A7FF9"/>
    <w:rsid w:val="007B0229"/>
    <w:rsid w:val="007B0DB7"/>
    <w:rsid w:val="007B1039"/>
    <w:rsid w:val="007B10EE"/>
    <w:rsid w:val="007B1150"/>
    <w:rsid w:val="007B11DA"/>
    <w:rsid w:val="007B130E"/>
    <w:rsid w:val="007B173E"/>
    <w:rsid w:val="007B184C"/>
    <w:rsid w:val="007B1B37"/>
    <w:rsid w:val="007B1C30"/>
    <w:rsid w:val="007B1C8B"/>
    <w:rsid w:val="007B1C98"/>
    <w:rsid w:val="007B1F10"/>
    <w:rsid w:val="007B2505"/>
    <w:rsid w:val="007B2848"/>
    <w:rsid w:val="007B2A84"/>
    <w:rsid w:val="007B2C56"/>
    <w:rsid w:val="007B354D"/>
    <w:rsid w:val="007B36AE"/>
    <w:rsid w:val="007B3806"/>
    <w:rsid w:val="007B3D71"/>
    <w:rsid w:val="007B3E80"/>
    <w:rsid w:val="007B442D"/>
    <w:rsid w:val="007B44DD"/>
    <w:rsid w:val="007B494F"/>
    <w:rsid w:val="007B4DCA"/>
    <w:rsid w:val="007B5407"/>
    <w:rsid w:val="007B549D"/>
    <w:rsid w:val="007B59A5"/>
    <w:rsid w:val="007B5B55"/>
    <w:rsid w:val="007B5B77"/>
    <w:rsid w:val="007B5F4A"/>
    <w:rsid w:val="007B6146"/>
    <w:rsid w:val="007B6606"/>
    <w:rsid w:val="007B6657"/>
    <w:rsid w:val="007B6712"/>
    <w:rsid w:val="007B6B3E"/>
    <w:rsid w:val="007B6BAB"/>
    <w:rsid w:val="007B6C07"/>
    <w:rsid w:val="007B744E"/>
    <w:rsid w:val="007B7A1F"/>
    <w:rsid w:val="007B7C30"/>
    <w:rsid w:val="007B7FFD"/>
    <w:rsid w:val="007C025F"/>
    <w:rsid w:val="007C02B7"/>
    <w:rsid w:val="007C03A9"/>
    <w:rsid w:val="007C04B0"/>
    <w:rsid w:val="007C060C"/>
    <w:rsid w:val="007C0644"/>
    <w:rsid w:val="007C0848"/>
    <w:rsid w:val="007C0B17"/>
    <w:rsid w:val="007C0ECD"/>
    <w:rsid w:val="007C1065"/>
    <w:rsid w:val="007C1142"/>
    <w:rsid w:val="007C13FC"/>
    <w:rsid w:val="007C1493"/>
    <w:rsid w:val="007C168F"/>
    <w:rsid w:val="007C16E9"/>
    <w:rsid w:val="007C2057"/>
    <w:rsid w:val="007C207E"/>
    <w:rsid w:val="007C2860"/>
    <w:rsid w:val="007C2BC3"/>
    <w:rsid w:val="007C2D0B"/>
    <w:rsid w:val="007C2E62"/>
    <w:rsid w:val="007C3118"/>
    <w:rsid w:val="007C32DF"/>
    <w:rsid w:val="007C3393"/>
    <w:rsid w:val="007C35D1"/>
    <w:rsid w:val="007C3671"/>
    <w:rsid w:val="007C3B92"/>
    <w:rsid w:val="007C3D2A"/>
    <w:rsid w:val="007C3E47"/>
    <w:rsid w:val="007C3FCB"/>
    <w:rsid w:val="007C3FD5"/>
    <w:rsid w:val="007C41A2"/>
    <w:rsid w:val="007C4258"/>
    <w:rsid w:val="007C4533"/>
    <w:rsid w:val="007C4761"/>
    <w:rsid w:val="007C49F6"/>
    <w:rsid w:val="007C4EF2"/>
    <w:rsid w:val="007C4FAA"/>
    <w:rsid w:val="007C5032"/>
    <w:rsid w:val="007C5257"/>
    <w:rsid w:val="007C54D6"/>
    <w:rsid w:val="007C559B"/>
    <w:rsid w:val="007C5AE9"/>
    <w:rsid w:val="007C60D1"/>
    <w:rsid w:val="007C6284"/>
    <w:rsid w:val="007C62F2"/>
    <w:rsid w:val="007C6608"/>
    <w:rsid w:val="007C6CA0"/>
    <w:rsid w:val="007C6CFD"/>
    <w:rsid w:val="007C70AB"/>
    <w:rsid w:val="007C74C5"/>
    <w:rsid w:val="007C75CD"/>
    <w:rsid w:val="007C7633"/>
    <w:rsid w:val="007C764F"/>
    <w:rsid w:val="007C77AD"/>
    <w:rsid w:val="007C785C"/>
    <w:rsid w:val="007D01D7"/>
    <w:rsid w:val="007D0267"/>
    <w:rsid w:val="007D0429"/>
    <w:rsid w:val="007D0452"/>
    <w:rsid w:val="007D04D7"/>
    <w:rsid w:val="007D0661"/>
    <w:rsid w:val="007D0792"/>
    <w:rsid w:val="007D07F3"/>
    <w:rsid w:val="007D0B67"/>
    <w:rsid w:val="007D136E"/>
    <w:rsid w:val="007D1462"/>
    <w:rsid w:val="007D1C1E"/>
    <w:rsid w:val="007D1DC1"/>
    <w:rsid w:val="007D228A"/>
    <w:rsid w:val="007D2357"/>
    <w:rsid w:val="007D25E7"/>
    <w:rsid w:val="007D2634"/>
    <w:rsid w:val="007D28D9"/>
    <w:rsid w:val="007D2C01"/>
    <w:rsid w:val="007D2DCC"/>
    <w:rsid w:val="007D2EBB"/>
    <w:rsid w:val="007D3192"/>
    <w:rsid w:val="007D352E"/>
    <w:rsid w:val="007D40EC"/>
    <w:rsid w:val="007D4739"/>
    <w:rsid w:val="007D4905"/>
    <w:rsid w:val="007D4983"/>
    <w:rsid w:val="007D49A8"/>
    <w:rsid w:val="007D49DA"/>
    <w:rsid w:val="007D4BA0"/>
    <w:rsid w:val="007D4F68"/>
    <w:rsid w:val="007D501C"/>
    <w:rsid w:val="007D50F6"/>
    <w:rsid w:val="007D5532"/>
    <w:rsid w:val="007D5626"/>
    <w:rsid w:val="007D564A"/>
    <w:rsid w:val="007D575B"/>
    <w:rsid w:val="007D5831"/>
    <w:rsid w:val="007D58EB"/>
    <w:rsid w:val="007D5AF4"/>
    <w:rsid w:val="007D5B22"/>
    <w:rsid w:val="007D5DE2"/>
    <w:rsid w:val="007D63C3"/>
    <w:rsid w:val="007D640D"/>
    <w:rsid w:val="007D66F3"/>
    <w:rsid w:val="007D69A5"/>
    <w:rsid w:val="007D6C08"/>
    <w:rsid w:val="007D6F38"/>
    <w:rsid w:val="007D70E7"/>
    <w:rsid w:val="007D712C"/>
    <w:rsid w:val="007D7656"/>
    <w:rsid w:val="007D7740"/>
    <w:rsid w:val="007E0290"/>
    <w:rsid w:val="007E03C5"/>
    <w:rsid w:val="007E0775"/>
    <w:rsid w:val="007E07C0"/>
    <w:rsid w:val="007E0E08"/>
    <w:rsid w:val="007E0EEC"/>
    <w:rsid w:val="007E1463"/>
    <w:rsid w:val="007E16C8"/>
    <w:rsid w:val="007E17B7"/>
    <w:rsid w:val="007E17E4"/>
    <w:rsid w:val="007E1A5B"/>
    <w:rsid w:val="007E1BC1"/>
    <w:rsid w:val="007E218C"/>
    <w:rsid w:val="007E22BF"/>
    <w:rsid w:val="007E24C9"/>
    <w:rsid w:val="007E24F1"/>
    <w:rsid w:val="007E255D"/>
    <w:rsid w:val="007E256F"/>
    <w:rsid w:val="007E269B"/>
    <w:rsid w:val="007E27A1"/>
    <w:rsid w:val="007E2C4F"/>
    <w:rsid w:val="007E3218"/>
    <w:rsid w:val="007E361B"/>
    <w:rsid w:val="007E3A95"/>
    <w:rsid w:val="007E3AAD"/>
    <w:rsid w:val="007E3BCD"/>
    <w:rsid w:val="007E3FB4"/>
    <w:rsid w:val="007E4444"/>
    <w:rsid w:val="007E4A78"/>
    <w:rsid w:val="007E4B84"/>
    <w:rsid w:val="007E4C21"/>
    <w:rsid w:val="007E551A"/>
    <w:rsid w:val="007E5772"/>
    <w:rsid w:val="007E5B60"/>
    <w:rsid w:val="007E700F"/>
    <w:rsid w:val="007E7284"/>
    <w:rsid w:val="007E73F0"/>
    <w:rsid w:val="007E746D"/>
    <w:rsid w:val="007E78BE"/>
    <w:rsid w:val="007E7A3F"/>
    <w:rsid w:val="007E7D67"/>
    <w:rsid w:val="007F0256"/>
    <w:rsid w:val="007F04C8"/>
    <w:rsid w:val="007F0604"/>
    <w:rsid w:val="007F08C4"/>
    <w:rsid w:val="007F0BB6"/>
    <w:rsid w:val="007F0D31"/>
    <w:rsid w:val="007F0DC3"/>
    <w:rsid w:val="007F0F9B"/>
    <w:rsid w:val="007F15A7"/>
    <w:rsid w:val="007F21F0"/>
    <w:rsid w:val="007F2502"/>
    <w:rsid w:val="007F2780"/>
    <w:rsid w:val="007F2C7D"/>
    <w:rsid w:val="007F2CFE"/>
    <w:rsid w:val="007F2F36"/>
    <w:rsid w:val="007F304B"/>
    <w:rsid w:val="007F39CE"/>
    <w:rsid w:val="007F3AAB"/>
    <w:rsid w:val="007F3ACC"/>
    <w:rsid w:val="007F3DC9"/>
    <w:rsid w:val="007F3F42"/>
    <w:rsid w:val="007F4308"/>
    <w:rsid w:val="007F4B39"/>
    <w:rsid w:val="007F4E30"/>
    <w:rsid w:val="007F54B7"/>
    <w:rsid w:val="007F56FD"/>
    <w:rsid w:val="007F5C41"/>
    <w:rsid w:val="007F5C9C"/>
    <w:rsid w:val="007F5E32"/>
    <w:rsid w:val="007F626B"/>
    <w:rsid w:val="007F6705"/>
    <w:rsid w:val="007F67BB"/>
    <w:rsid w:val="007F6A9D"/>
    <w:rsid w:val="007F6C6E"/>
    <w:rsid w:val="007F6E98"/>
    <w:rsid w:val="007F70AB"/>
    <w:rsid w:val="007F7296"/>
    <w:rsid w:val="007F7AE2"/>
    <w:rsid w:val="007F7D02"/>
    <w:rsid w:val="008004CA"/>
    <w:rsid w:val="00800AC6"/>
    <w:rsid w:val="00800D8A"/>
    <w:rsid w:val="00800DB4"/>
    <w:rsid w:val="00800EB3"/>
    <w:rsid w:val="0080147F"/>
    <w:rsid w:val="00801582"/>
    <w:rsid w:val="00801939"/>
    <w:rsid w:val="00801A21"/>
    <w:rsid w:val="008020CD"/>
    <w:rsid w:val="00802219"/>
    <w:rsid w:val="0080241B"/>
    <w:rsid w:val="0080243C"/>
    <w:rsid w:val="008024B9"/>
    <w:rsid w:val="00802E70"/>
    <w:rsid w:val="008031C2"/>
    <w:rsid w:val="008031DA"/>
    <w:rsid w:val="00803541"/>
    <w:rsid w:val="0080356E"/>
    <w:rsid w:val="008039FA"/>
    <w:rsid w:val="00803BEB"/>
    <w:rsid w:val="00803CF1"/>
    <w:rsid w:val="00804011"/>
    <w:rsid w:val="00804240"/>
    <w:rsid w:val="008042E3"/>
    <w:rsid w:val="0080432C"/>
    <w:rsid w:val="00804440"/>
    <w:rsid w:val="00804616"/>
    <w:rsid w:val="00804DDB"/>
    <w:rsid w:val="00804F79"/>
    <w:rsid w:val="00805255"/>
    <w:rsid w:val="008055DA"/>
    <w:rsid w:val="00805873"/>
    <w:rsid w:val="00805EB6"/>
    <w:rsid w:val="00805FE4"/>
    <w:rsid w:val="00806238"/>
    <w:rsid w:val="00806285"/>
    <w:rsid w:val="0080628F"/>
    <w:rsid w:val="008062B3"/>
    <w:rsid w:val="00806508"/>
    <w:rsid w:val="00806636"/>
    <w:rsid w:val="0080670E"/>
    <w:rsid w:val="00806735"/>
    <w:rsid w:val="00806F0D"/>
    <w:rsid w:val="00807220"/>
    <w:rsid w:val="00807388"/>
    <w:rsid w:val="00807393"/>
    <w:rsid w:val="0080743F"/>
    <w:rsid w:val="008074ED"/>
    <w:rsid w:val="00807A51"/>
    <w:rsid w:val="00807C4B"/>
    <w:rsid w:val="00807E01"/>
    <w:rsid w:val="008103EA"/>
    <w:rsid w:val="008107EF"/>
    <w:rsid w:val="00810A5D"/>
    <w:rsid w:val="00810AD8"/>
    <w:rsid w:val="00810EBE"/>
    <w:rsid w:val="0081101D"/>
    <w:rsid w:val="0081133D"/>
    <w:rsid w:val="00811690"/>
    <w:rsid w:val="00811752"/>
    <w:rsid w:val="00811783"/>
    <w:rsid w:val="008117D5"/>
    <w:rsid w:val="008119C0"/>
    <w:rsid w:val="00811BF2"/>
    <w:rsid w:val="0081219B"/>
    <w:rsid w:val="008122FA"/>
    <w:rsid w:val="00812539"/>
    <w:rsid w:val="008126ED"/>
    <w:rsid w:val="00812D0E"/>
    <w:rsid w:val="00813254"/>
    <w:rsid w:val="0081335D"/>
    <w:rsid w:val="008134D5"/>
    <w:rsid w:val="0081399D"/>
    <w:rsid w:val="00813ED0"/>
    <w:rsid w:val="00814072"/>
    <w:rsid w:val="00814303"/>
    <w:rsid w:val="008143CB"/>
    <w:rsid w:val="00814789"/>
    <w:rsid w:val="0081485B"/>
    <w:rsid w:val="008149BE"/>
    <w:rsid w:val="00814B11"/>
    <w:rsid w:val="00814EBD"/>
    <w:rsid w:val="008153AE"/>
    <w:rsid w:val="008153CE"/>
    <w:rsid w:val="0081553D"/>
    <w:rsid w:val="00815C2A"/>
    <w:rsid w:val="00816498"/>
    <w:rsid w:val="00816627"/>
    <w:rsid w:val="00817352"/>
    <w:rsid w:val="00817405"/>
    <w:rsid w:val="00820593"/>
    <w:rsid w:val="00820653"/>
    <w:rsid w:val="00820E01"/>
    <w:rsid w:val="00821622"/>
    <w:rsid w:val="008217E8"/>
    <w:rsid w:val="0082184B"/>
    <w:rsid w:val="00821B30"/>
    <w:rsid w:val="0082203E"/>
    <w:rsid w:val="008223F1"/>
    <w:rsid w:val="0082252D"/>
    <w:rsid w:val="008225C6"/>
    <w:rsid w:val="00822679"/>
    <w:rsid w:val="008226E1"/>
    <w:rsid w:val="008227D3"/>
    <w:rsid w:val="008228A3"/>
    <w:rsid w:val="0082312C"/>
    <w:rsid w:val="00823211"/>
    <w:rsid w:val="008233DB"/>
    <w:rsid w:val="00823B44"/>
    <w:rsid w:val="00823BCD"/>
    <w:rsid w:val="00823D9C"/>
    <w:rsid w:val="00823DCC"/>
    <w:rsid w:val="00823DDD"/>
    <w:rsid w:val="00823F18"/>
    <w:rsid w:val="0082411E"/>
    <w:rsid w:val="00824AFE"/>
    <w:rsid w:val="00825316"/>
    <w:rsid w:val="00825482"/>
    <w:rsid w:val="00825548"/>
    <w:rsid w:val="008259DE"/>
    <w:rsid w:val="00826112"/>
    <w:rsid w:val="008264F1"/>
    <w:rsid w:val="008265B8"/>
    <w:rsid w:val="00826765"/>
    <w:rsid w:val="008269A3"/>
    <w:rsid w:val="00826CA4"/>
    <w:rsid w:val="00826F98"/>
    <w:rsid w:val="00827242"/>
    <w:rsid w:val="0082741D"/>
    <w:rsid w:val="008278F9"/>
    <w:rsid w:val="00827941"/>
    <w:rsid w:val="00827A7B"/>
    <w:rsid w:val="00827DF7"/>
    <w:rsid w:val="0083000D"/>
    <w:rsid w:val="00830285"/>
    <w:rsid w:val="008306D9"/>
    <w:rsid w:val="0083072B"/>
    <w:rsid w:val="00830AD6"/>
    <w:rsid w:val="00830B42"/>
    <w:rsid w:val="00830CE7"/>
    <w:rsid w:val="008313E4"/>
    <w:rsid w:val="008315D9"/>
    <w:rsid w:val="00831C33"/>
    <w:rsid w:val="00831CCB"/>
    <w:rsid w:val="00831CF6"/>
    <w:rsid w:val="0083260C"/>
    <w:rsid w:val="00832649"/>
    <w:rsid w:val="00832808"/>
    <w:rsid w:val="0083287E"/>
    <w:rsid w:val="00832B00"/>
    <w:rsid w:val="00832CD0"/>
    <w:rsid w:val="008330ED"/>
    <w:rsid w:val="0083320D"/>
    <w:rsid w:val="0083324A"/>
    <w:rsid w:val="00833320"/>
    <w:rsid w:val="00833548"/>
    <w:rsid w:val="00833705"/>
    <w:rsid w:val="00833914"/>
    <w:rsid w:val="00833A17"/>
    <w:rsid w:val="0083477A"/>
    <w:rsid w:val="00834883"/>
    <w:rsid w:val="00834A62"/>
    <w:rsid w:val="00834D6D"/>
    <w:rsid w:val="0083543A"/>
    <w:rsid w:val="0083563F"/>
    <w:rsid w:val="00835754"/>
    <w:rsid w:val="008359D7"/>
    <w:rsid w:val="00835D6A"/>
    <w:rsid w:val="00835E89"/>
    <w:rsid w:val="00835ED8"/>
    <w:rsid w:val="008363C5"/>
    <w:rsid w:val="00836755"/>
    <w:rsid w:val="00836757"/>
    <w:rsid w:val="008371D7"/>
    <w:rsid w:val="008372E4"/>
    <w:rsid w:val="008378B6"/>
    <w:rsid w:val="00837B3E"/>
    <w:rsid w:val="00837C42"/>
    <w:rsid w:val="00837DE8"/>
    <w:rsid w:val="00840000"/>
    <w:rsid w:val="00840019"/>
    <w:rsid w:val="00840094"/>
    <w:rsid w:val="00840654"/>
    <w:rsid w:val="00840ACA"/>
    <w:rsid w:val="00840C57"/>
    <w:rsid w:val="00840FFE"/>
    <w:rsid w:val="0084117D"/>
    <w:rsid w:val="00841245"/>
    <w:rsid w:val="00841583"/>
    <w:rsid w:val="008416C7"/>
    <w:rsid w:val="008417C2"/>
    <w:rsid w:val="00841B11"/>
    <w:rsid w:val="00841B25"/>
    <w:rsid w:val="00841E16"/>
    <w:rsid w:val="008420BE"/>
    <w:rsid w:val="0084218F"/>
    <w:rsid w:val="00842345"/>
    <w:rsid w:val="008423F5"/>
    <w:rsid w:val="00842AEC"/>
    <w:rsid w:val="00842C5F"/>
    <w:rsid w:val="00842F13"/>
    <w:rsid w:val="00842F65"/>
    <w:rsid w:val="0084315C"/>
    <w:rsid w:val="00843193"/>
    <w:rsid w:val="00843391"/>
    <w:rsid w:val="0084352A"/>
    <w:rsid w:val="0084357F"/>
    <w:rsid w:val="008436A1"/>
    <w:rsid w:val="00843848"/>
    <w:rsid w:val="008438FF"/>
    <w:rsid w:val="00843D90"/>
    <w:rsid w:val="00843E23"/>
    <w:rsid w:val="0084408F"/>
    <w:rsid w:val="00844140"/>
    <w:rsid w:val="00844251"/>
    <w:rsid w:val="0084444A"/>
    <w:rsid w:val="00844578"/>
    <w:rsid w:val="008449B0"/>
    <w:rsid w:val="0084511E"/>
    <w:rsid w:val="0084512C"/>
    <w:rsid w:val="0084545C"/>
    <w:rsid w:val="0084546C"/>
    <w:rsid w:val="00845602"/>
    <w:rsid w:val="00845B0C"/>
    <w:rsid w:val="00845B29"/>
    <w:rsid w:val="00845B4D"/>
    <w:rsid w:val="00845BD8"/>
    <w:rsid w:val="00845F81"/>
    <w:rsid w:val="008465B9"/>
    <w:rsid w:val="00846BD9"/>
    <w:rsid w:val="00846FD5"/>
    <w:rsid w:val="00847410"/>
    <w:rsid w:val="0084749E"/>
    <w:rsid w:val="008474D9"/>
    <w:rsid w:val="008478FA"/>
    <w:rsid w:val="00847913"/>
    <w:rsid w:val="00847B94"/>
    <w:rsid w:val="00847E12"/>
    <w:rsid w:val="00847F25"/>
    <w:rsid w:val="00847F50"/>
    <w:rsid w:val="008502DA"/>
    <w:rsid w:val="00850463"/>
    <w:rsid w:val="00850566"/>
    <w:rsid w:val="00850998"/>
    <w:rsid w:val="00850F67"/>
    <w:rsid w:val="00851185"/>
    <w:rsid w:val="0085131B"/>
    <w:rsid w:val="00851A6D"/>
    <w:rsid w:val="00851B13"/>
    <w:rsid w:val="008528CB"/>
    <w:rsid w:val="0085316E"/>
    <w:rsid w:val="0085392E"/>
    <w:rsid w:val="00853FBA"/>
    <w:rsid w:val="008542A4"/>
    <w:rsid w:val="008548BE"/>
    <w:rsid w:val="008548CA"/>
    <w:rsid w:val="0085492F"/>
    <w:rsid w:val="00854E74"/>
    <w:rsid w:val="00855AF6"/>
    <w:rsid w:val="00855DB8"/>
    <w:rsid w:val="008560F8"/>
    <w:rsid w:val="008563D7"/>
    <w:rsid w:val="00856411"/>
    <w:rsid w:val="008569BD"/>
    <w:rsid w:val="00856CCB"/>
    <w:rsid w:val="00856D9A"/>
    <w:rsid w:val="00857092"/>
    <w:rsid w:val="0085731B"/>
    <w:rsid w:val="008573A2"/>
    <w:rsid w:val="0085768D"/>
    <w:rsid w:val="00857696"/>
    <w:rsid w:val="00857764"/>
    <w:rsid w:val="00857A7F"/>
    <w:rsid w:val="00857D01"/>
    <w:rsid w:val="00857EF9"/>
    <w:rsid w:val="00857F57"/>
    <w:rsid w:val="0086066A"/>
    <w:rsid w:val="00860B68"/>
    <w:rsid w:val="00860DC4"/>
    <w:rsid w:val="0086117F"/>
    <w:rsid w:val="008611CD"/>
    <w:rsid w:val="0086131C"/>
    <w:rsid w:val="00861508"/>
    <w:rsid w:val="0086158A"/>
    <w:rsid w:val="008616BD"/>
    <w:rsid w:val="0086198B"/>
    <w:rsid w:val="0086199A"/>
    <w:rsid w:val="00861C90"/>
    <w:rsid w:val="00862071"/>
    <w:rsid w:val="00862170"/>
    <w:rsid w:val="008627E1"/>
    <w:rsid w:val="00862982"/>
    <w:rsid w:val="00862F19"/>
    <w:rsid w:val="0086303F"/>
    <w:rsid w:val="00863044"/>
    <w:rsid w:val="008630D3"/>
    <w:rsid w:val="008634BB"/>
    <w:rsid w:val="0086360D"/>
    <w:rsid w:val="00863A15"/>
    <w:rsid w:val="00864639"/>
    <w:rsid w:val="0086479A"/>
    <w:rsid w:val="008647F3"/>
    <w:rsid w:val="00864930"/>
    <w:rsid w:val="00864C85"/>
    <w:rsid w:val="00864CC3"/>
    <w:rsid w:val="00864F29"/>
    <w:rsid w:val="008654C3"/>
    <w:rsid w:val="00865AA0"/>
    <w:rsid w:val="00865AA9"/>
    <w:rsid w:val="00865B0E"/>
    <w:rsid w:val="00865B8B"/>
    <w:rsid w:val="00865FA3"/>
    <w:rsid w:val="0086632C"/>
    <w:rsid w:val="008666FA"/>
    <w:rsid w:val="00866782"/>
    <w:rsid w:val="00866E35"/>
    <w:rsid w:val="00867255"/>
    <w:rsid w:val="008677EC"/>
    <w:rsid w:val="008678CB"/>
    <w:rsid w:val="0086798E"/>
    <w:rsid w:val="00867A40"/>
    <w:rsid w:val="00867D47"/>
    <w:rsid w:val="008701FB"/>
    <w:rsid w:val="0087032D"/>
    <w:rsid w:val="00870B5F"/>
    <w:rsid w:val="00871308"/>
    <w:rsid w:val="0087140F"/>
    <w:rsid w:val="008714BE"/>
    <w:rsid w:val="0087154C"/>
    <w:rsid w:val="00871B32"/>
    <w:rsid w:val="00872120"/>
    <w:rsid w:val="00872C67"/>
    <w:rsid w:val="00872D15"/>
    <w:rsid w:val="00872D1A"/>
    <w:rsid w:val="00872F24"/>
    <w:rsid w:val="00873299"/>
    <w:rsid w:val="0087342D"/>
    <w:rsid w:val="00873CAB"/>
    <w:rsid w:val="008740B0"/>
    <w:rsid w:val="008741E7"/>
    <w:rsid w:val="008743DE"/>
    <w:rsid w:val="008746DE"/>
    <w:rsid w:val="008748E6"/>
    <w:rsid w:val="00874981"/>
    <w:rsid w:val="008749FA"/>
    <w:rsid w:val="008750E6"/>
    <w:rsid w:val="008751B3"/>
    <w:rsid w:val="008751E6"/>
    <w:rsid w:val="0087570A"/>
    <w:rsid w:val="00875817"/>
    <w:rsid w:val="008758CD"/>
    <w:rsid w:val="00875A80"/>
    <w:rsid w:val="00875D58"/>
    <w:rsid w:val="00875F2D"/>
    <w:rsid w:val="00875F74"/>
    <w:rsid w:val="00875FCA"/>
    <w:rsid w:val="0087615A"/>
    <w:rsid w:val="00876186"/>
    <w:rsid w:val="0087618A"/>
    <w:rsid w:val="008763B1"/>
    <w:rsid w:val="0087673E"/>
    <w:rsid w:val="00876B9C"/>
    <w:rsid w:val="00876BAC"/>
    <w:rsid w:val="00876D36"/>
    <w:rsid w:val="00876EA2"/>
    <w:rsid w:val="00876FE1"/>
    <w:rsid w:val="00877329"/>
    <w:rsid w:val="00877507"/>
    <w:rsid w:val="008775B0"/>
    <w:rsid w:val="008777AD"/>
    <w:rsid w:val="00877F12"/>
    <w:rsid w:val="00880138"/>
    <w:rsid w:val="00880254"/>
    <w:rsid w:val="00880345"/>
    <w:rsid w:val="008807D6"/>
    <w:rsid w:val="008810B5"/>
    <w:rsid w:val="008810F5"/>
    <w:rsid w:val="008812BB"/>
    <w:rsid w:val="00881433"/>
    <w:rsid w:val="0088145F"/>
    <w:rsid w:val="00881637"/>
    <w:rsid w:val="0088165C"/>
    <w:rsid w:val="00881AF5"/>
    <w:rsid w:val="00881E45"/>
    <w:rsid w:val="00881E4E"/>
    <w:rsid w:val="00881E56"/>
    <w:rsid w:val="00882249"/>
    <w:rsid w:val="008823E1"/>
    <w:rsid w:val="008826F4"/>
    <w:rsid w:val="008828B9"/>
    <w:rsid w:val="00882A24"/>
    <w:rsid w:val="00882E1C"/>
    <w:rsid w:val="00883190"/>
    <w:rsid w:val="00883285"/>
    <w:rsid w:val="008833B9"/>
    <w:rsid w:val="00883487"/>
    <w:rsid w:val="0088355F"/>
    <w:rsid w:val="00883669"/>
    <w:rsid w:val="00883A93"/>
    <w:rsid w:val="00883B5C"/>
    <w:rsid w:val="00883CF0"/>
    <w:rsid w:val="00883F37"/>
    <w:rsid w:val="00883F68"/>
    <w:rsid w:val="008848AD"/>
    <w:rsid w:val="00884B69"/>
    <w:rsid w:val="00884B75"/>
    <w:rsid w:val="00884D23"/>
    <w:rsid w:val="00884DC1"/>
    <w:rsid w:val="00884FC9"/>
    <w:rsid w:val="00885074"/>
    <w:rsid w:val="00885527"/>
    <w:rsid w:val="008859EB"/>
    <w:rsid w:val="00885BB6"/>
    <w:rsid w:val="00885D86"/>
    <w:rsid w:val="008861F5"/>
    <w:rsid w:val="00886330"/>
    <w:rsid w:val="00886A61"/>
    <w:rsid w:val="00886C9F"/>
    <w:rsid w:val="00886EFD"/>
    <w:rsid w:val="0088728A"/>
    <w:rsid w:val="00887575"/>
    <w:rsid w:val="008879F8"/>
    <w:rsid w:val="00887E67"/>
    <w:rsid w:val="00890253"/>
    <w:rsid w:val="0089056B"/>
    <w:rsid w:val="00890A97"/>
    <w:rsid w:val="00890AB0"/>
    <w:rsid w:val="00890BE0"/>
    <w:rsid w:val="00890CEE"/>
    <w:rsid w:val="00890E51"/>
    <w:rsid w:val="00890E5B"/>
    <w:rsid w:val="00890F6A"/>
    <w:rsid w:val="00891143"/>
    <w:rsid w:val="00891300"/>
    <w:rsid w:val="00891487"/>
    <w:rsid w:val="008914D6"/>
    <w:rsid w:val="0089184D"/>
    <w:rsid w:val="00891A19"/>
    <w:rsid w:val="00891B06"/>
    <w:rsid w:val="00891F64"/>
    <w:rsid w:val="00892129"/>
    <w:rsid w:val="008927E0"/>
    <w:rsid w:val="00892C2C"/>
    <w:rsid w:val="00892C3E"/>
    <w:rsid w:val="00892F75"/>
    <w:rsid w:val="00892FAB"/>
    <w:rsid w:val="0089355D"/>
    <w:rsid w:val="008935F9"/>
    <w:rsid w:val="00893B89"/>
    <w:rsid w:val="00893D18"/>
    <w:rsid w:val="00893D4E"/>
    <w:rsid w:val="00893E55"/>
    <w:rsid w:val="00893E9F"/>
    <w:rsid w:val="00894373"/>
    <w:rsid w:val="008944CE"/>
    <w:rsid w:val="00894674"/>
    <w:rsid w:val="00894802"/>
    <w:rsid w:val="0089534A"/>
    <w:rsid w:val="008955C4"/>
    <w:rsid w:val="0089569A"/>
    <w:rsid w:val="008957DD"/>
    <w:rsid w:val="00895CD6"/>
    <w:rsid w:val="00895D50"/>
    <w:rsid w:val="00895D69"/>
    <w:rsid w:val="00895E31"/>
    <w:rsid w:val="00896A4A"/>
    <w:rsid w:val="00896D06"/>
    <w:rsid w:val="00896F84"/>
    <w:rsid w:val="00897033"/>
    <w:rsid w:val="008971B7"/>
    <w:rsid w:val="00897240"/>
    <w:rsid w:val="00897294"/>
    <w:rsid w:val="008972FA"/>
    <w:rsid w:val="008974E1"/>
    <w:rsid w:val="00897D1E"/>
    <w:rsid w:val="008A009A"/>
    <w:rsid w:val="008A03DD"/>
    <w:rsid w:val="008A0A90"/>
    <w:rsid w:val="008A0C1A"/>
    <w:rsid w:val="008A0C71"/>
    <w:rsid w:val="008A1041"/>
    <w:rsid w:val="008A1105"/>
    <w:rsid w:val="008A1364"/>
    <w:rsid w:val="008A17D4"/>
    <w:rsid w:val="008A186F"/>
    <w:rsid w:val="008A1DB9"/>
    <w:rsid w:val="008A21B6"/>
    <w:rsid w:val="008A22A3"/>
    <w:rsid w:val="008A233C"/>
    <w:rsid w:val="008A297A"/>
    <w:rsid w:val="008A2FBA"/>
    <w:rsid w:val="008A32F7"/>
    <w:rsid w:val="008A3493"/>
    <w:rsid w:val="008A35C6"/>
    <w:rsid w:val="008A35E8"/>
    <w:rsid w:val="008A3614"/>
    <w:rsid w:val="008A3653"/>
    <w:rsid w:val="008A39A7"/>
    <w:rsid w:val="008A3D3E"/>
    <w:rsid w:val="008A4040"/>
    <w:rsid w:val="008A40E2"/>
    <w:rsid w:val="008A494F"/>
    <w:rsid w:val="008A49D2"/>
    <w:rsid w:val="008A4B2C"/>
    <w:rsid w:val="008A4C0E"/>
    <w:rsid w:val="008A4C78"/>
    <w:rsid w:val="008A4D18"/>
    <w:rsid w:val="008A4FD7"/>
    <w:rsid w:val="008A50D6"/>
    <w:rsid w:val="008A5102"/>
    <w:rsid w:val="008A598A"/>
    <w:rsid w:val="008A5ACF"/>
    <w:rsid w:val="008A5BE0"/>
    <w:rsid w:val="008A5E20"/>
    <w:rsid w:val="008A6079"/>
    <w:rsid w:val="008A6219"/>
    <w:rsid w:val="008A62A8"/>
    <w:rsid w:val="008A6369"/>
    <w:rsid w:val="008A6731"/>
    <w:rsid w:val="008A6C5A"/>
    <w:rsid w:val="008A71C7"/>
    <w:rsid w:val="008A750F"/>
    <w:rsid w:val="008A7923"/>
    <w:rsid w:val="008A797F"/>
    <w:rsid w:val="008A7BF8"/>
    <w:rsid w:val="008A7CEB"/>
    <w:rsid w:val="008A7DBB"/>
    <w:rsid w:val="008A7DD0"/>
    <w:rsid w:val="008B034A"/>
    <w:rsid w:val="008B0654"/>
    <w:rsid w:val="008B0782"/>
    <w:rsid w:val="008B09EE"/>
    <w:rsid w:val="008B147E"/>
    <w:rsid w:val="008B18CE"/>
    <w:rsid w:val="008B1B90"/>
    <w:rsid w:val="008B20B2"/>
    <w:rsid w:val="008B269F"/>
    <w:rsid w:val="008B2DD0"/>
    <w:rsid w:val="008B2FA9"/>
    <w:rsid w:val="008B3567"/>
    <w:rsid w:val="008B37E5"/>
    <w:rsid w:val="008B37FF"/>
    <w:rsid w:val="008B397D"/>
    <w:rsid w:val="008B39A8"/>
    <w:rsid w:val="008B3B1C"/>
    <w:rsid w:val="008B3BEB"/>
    <w:rsid w:val="008B47A2"/>
    <w:rsid w:val="008B4C2C"/>
    <w:rsid w:val="008B51B6"/>
    <w:rsid w:val="008B525A"/>
    <w:rsid w:val="008B52F6"/>
    <w:rsid w:val="008B56A0"/>
    <w:rsid w:val="008B576D"/>
    <w:rsid w:val="008B5BC4"/>
    <w:rsid w:val="008B5BE7"/>
    <w:rsid w:val="008B62F4"/>
    <w:rsid w:val="008B64CE"/>
    <w:rsid w:val="008B66E8"/>
    <w:rsid w:val="008B6AAD"/>
    <w:rsid w:val="008B6AF2"/>
    <w:rsid w:val="008B6BE5"/>
    <w:rsid w:val="008B6D0E"/>
    <w:rsid w:val="008B6EA7"/>
    <w:rsid w:val="008B70FE"/>
    <w:rsid w:val="008B7656"/>
    <w:rsid w:val="008B771E"/>
    <w:rsid w:val="008C012D"/>
    <w:rsid w:val="008C05F3"/>
    <w:rsid w:val="008C0DC0"/>
    <w:rsid w:val="008C0F92"/>
    <w:rsid w:val="008C1080"/>
    <w:rsid w:val="008C131A"/>
    <w:rsid w:val="008C133E"/>
    <w:rsid w:val="008C13A1"/>
    <w:rsid w:val="008C1494"/>
    <w:rsid w:val="008C15E1"/>
    <w:rsid w:val="008C1698"/>
    <w:rsid w:val="008C186F"/>
    <w:rsid w:val="008C1BC5"/>
    <w:rsid w:val="008C1F6E"/>
    <w:rsid w:val="008C25CC"/>
    <w:rsid w:val="008C28A9"/>
    <w:rsid w:val="008C28C7"/>
    <w:rsid w:val="008C299E"/>
    <w:rsid w:val="008C2A88"/>
    <w:rsid w:val="008C2B6B"/>
    <w:rsid w:val="008C2CBA"/>
    <w:rsid w:val="008C2D29"/>
    <w:rsid w:val="008C3194"/>
    <w:rsid w:val="008C3279"/>
    <w:rsid w:val="008C38DB"/>
    <w:rsid w:val="008C3FF6"/>
    <w:rsid w:val="008C4839"/>
    <w:rsid w:val="008C5050"/>
    <w:rsid w:val="008C5E39"/>
    <w:rsid w:val="008C5EF3"/>
    <w:rsid w:val="008C5FAD"/>
    <w:rsid w:val="008C6058"/>
    <w:rsid w:val="008C6250"/>
    <w:rsid w:val="008C635E"/>
    <w:rsid w:val="008C65CD"/>
    <w:rsid w:val="008C66CD"/>
    <w:rsid w:val="008C70AD"/>
    <w:rsid w:val="008C7405"/>
    <w:rsid w:val="008C7591"/>
    <w:rsid w:val="008C7619"/>
    <w:rsid w:val="008C772B"/>
    <w:rsid w:val="008C7A5A"/>
    <w:rsid w:val="008C7B48"/>
    <w:rsid w:val="008C7D55"/>
    <w:rsid w:val="008C7EB0"/>
    <w:rsid w:val="008C7F10"/>
    <w:rsid w:val="008C7F4D"/>
    <w:rsid w:val="008D039C"/>
    <w:rsid w:val="008D0688"/>
    <w:rsid w:val="008D0BC1"/>
    <w:rsid w:val="008D0E34"/>
    <w:rsid w:val="008D0F0D"/>
    <w:rsid w:val="008D1062"/>
    <w:rsid w:val="008D19A2"/>
    <w:rsid w:val="008D1B51"/>
    <w:rsid w:val="008D2482"/>
    <w:rsid w:val="008D24C1"/>
    <w:rsid w:val="008D276E"/>
    <w:rsid w:val="008D2A39"/>
    <w:rsid w:val="008D30F1"/>
    <w:rsid w:val="008D3AC2"/>
    <w:rsid w:val="008D3CC6"/>
    <w:rsid w:val="008D3D4C"/>
    <w:rsid w:val="008D4014"/>
    <w:rsid w:val="008D40F2"/>
    <w:rsid w:val="008D4520"/>
    <w:rsid w:val="008D471D"/>
    <w:rsid w:val="008D4BA8"/>
    <w:rsid w:val="008D4C85"/>
    <w:rsid w:val="008D4CFB"/>
    <w:rsid w:val="008D4FBD"/>
    <w:rsid w:val="008D52A2"/>
    <w:rsid w:val="008D54CB"/>
    <w:rsid w:val="008D5541"/>
    <w:rsid w:val="008D558D"/>
    <w:rsid w:val="008D573E"/>
    <w:rsid w:val="008D58BA"/>
    <w:rsid w:val="008D617F"/>
    <w:rsid w:val="008D63DA"/>
    <w:rsid w:val="008D668D"/>
    <w:rsid w:val="008D6829"/>
    <w:rsid w:val="008D6B53"/>
    <w:rsid w:val="008D6DC8"/>
    <w:rsid w:val="008D6E3F"/>
    <w:rsid w:val="008D6FFD"/>
    <w:rsid w:val="008D728C"/>
    <w:rsid w:val="008D7631"/>
    <w:rsid w:val="008D76DE"/>
    <w:rsid w:val="008D7844"/>
    <w:rsid w:val="008D78ED"/>
    <w:rsid w:val="008D7A5D"/>
    <w:rsid w:val="008D7B36"/>
    <w:rsid w:val="008E01AC"/>
    <w:rsid w:val="008E0341"/>
    <w:rsid w:val="008E03EE"/>
    <w:rsid w:val="008E0421"/>
    <w:rsid w:val="008E04C5"/>
    <w:rsid w:val="008E0555"/>
    <w:rsid w:val="008E0591"/>
    <w:rsid w:val="008E060A"/>
    <w:rsid w:val="008E06E6"/>
    <w:rsid w:val="008E074A"/>
    <w:rsid w:val="008E0752"/>
    <w:rsid w:val="008E10FD"/>
    <w:rsid w:val="008E12F9"/>
    <w:rsid w:val="008E1538"/>
    <w:rsid w:val="008E17C4"/>
    <w:rsid w:val="008E198F"/>
    <w:rsid w:val="008E1C79"/>
    <w:rsid w:val="008E2152"/>
    <w:rsid w:val="008E266F"/>
    <w:rsid w:val="008E274C"/>
    <w:rsid w:val="008E2CD8"/>
    <w:rsid w:val="008E30E3"/>
    <w:rsid w:val="008E3217"/>
    <w:rsid w:val="008E3358"/>
    <w:rsid w:val="008E336D"/>
    <w:rsid w:val="008E3773"/>
    <w:rsid w:val="008E3F0E"/>
    <w:rsid w:val="008E3FA6"/>
    <w:rsid w:val="008E3FC3"/>
    <w:rsid w:val="008E41F8"/>
    <w:rsid w:val="008E42F8"/>
    <w:rsid w:val="008E45B9"/>
    <w:rsid w:val="008E4AB1"/>
    <w:rsid w:val="008E4C52"/>
    <w:rsid w:val="008E4CE3"/>
    <w:rsid w:val="008E4DAC"/>
    <w:rsid w:val="008E513B"/>
    <w:rsid w:val="008E51D8"/>
    <w:rsid w:val="008E55EA"/>
    <w:rsid w:val="008E5771"/>
    <w:rsid w:val="008E58DA"/>
    <w:rsid w:val="008E6597"/>
    <w:rsid w:val="008E67E9"/>
    <w:rsid w:val="008E6A1E"/>
    <w:rsid w:val="008E6BFF"/>
    <w:rsid w:val="008E6C57"/>
    <w:rsid w:val="008E6CB7"/>
    <w:rsid w:val="008E6D19"/>
    <w:rsid w:val="008E7227"/>
    <w:rsid w:val="008E72C3"/>
    <w:rsid w:val="008E793F"/>
    <w:rsid w:val="008E7DFA"/>
    <w:rsid w:val="008F01C7"/>
    <w:rsid w:val="008F0367"/>
    <w:rsid w:val="008F04EC"/>
    <w:rsid w:val="008F0CA8"/>
    <w:rsid w:val="008F0EB7"/>
    <w:rsid w:val="008F0FD7"/>
    <w:rsid w:val="008F11C6"/>
    <w:rsid w:val="008F1226"/>
    <w:rsid w:val="008F1575"/>
    <w:rsid w:val="008F1765"/>
    <w:rsid w:val="008F17F4"/>
    <w:rsid w:val="008F1F6F"/>
    <w:rsid w:val="008F225C"/>
    <w:rsid w:val="008F2605"/>
    <w:rsid w:val="008F2D28"/>
    <w:rsid w:val="008F2FA4"/>
    <w:rsid w:val="008F3218"/>
    <w:rsid w:val="008F3411"/>
    <w:rsid w:val="008F3956"/>
    <w:rsid w:val="008F397D"/>
    <w:rsid w:val="008F3CA1"/>
    <w:rsid w:val="008F3E7C"/>
    <w:rsid w:val="008F3EC3"/>
    <w:rsid w:val="008F4541"/>
    <w:rsid w:val="008F477F"/>
    <w:rsid w:val="008F4786"/>
    <w:rsid w:val="008F486A"/>
    <w:rsid w:val="008F499A"/>
    <w:rsid w:val="008F55DB"/>
    <w:rsid w:val="008F5605"/>
    <w:rsid w:val="008F563E"/>
    <w:rsid w:val="008F591D"/>
    <w:rsid w:val="008F5938"/>
    <w:rsid w:val="008F5ED5"/>
    <w:rsid w:val="008F67E8"/>
    <w:rsid w:val="008F694A"/>
    <w:rsid w:val="008F77CF"/>
    <w:rsid w:val="008F7900"/>
    <w:rsid w:val="008F7BD0"/>
    <w:rsid w:val="008F7D62"/>
    <w:rsid w:val="008F7F8D"/>
    <w:rsid w:val="0090008F"/>
    <w:rsid w:val="009001C8"/>
    <w:rsid w:val="009001CA"/>
    <w:rsid w:val="00900475"/>
    <w:rsid w:val="0090065D"/>
    <w:rsid w:val="0090086D"/>
    <w:rsid w:val="009009E6"/>
    <w:rsid w:val="00900B6B"/>
    <w:rsid w:val="00901084"/>
    <w:rsid w:val="00901480"/>
    <w:rsid w:val="0090159B"/>
    <w:rsid w:val="00901AA7"/>
    <w:rsid w:val="009025E9"/>
    <w:rsid w:val="009026D9"/>
    <w:rsid w:val="009029DA"/>
    <w:rsid w:val="00902A77"/>
    <w:rsid w:val="00902C56"/>
    <w:rsid w:val="00903A52"/>
    <w:rsid w:val="009040E6"/>
    <w:rsid w:val="00904240"/>
    <w:rsid w:val="00904408"/>
    <w:rsid w:val="009044C2"/>
    <w:rsid w:val="009046AC"/>
    <w:rsid w:val="009049B7"/>
    <w:rsid w:val="009049D9"/>
    <w:rsid w:val="00904B55"/>
    <w:rsid w:val="00904C28"/>
    <w:rsid w:val="00904D2F"/>
    <w:rsid w:val="00904EC9"/>
    <w:rsid w:val="00905060"/>
    <w:rsid w:val="00905182"/>
    <w:rsid w:val="0090561D"/>
    <w:rsid w:val="0090580C"/>
    <w:rsid w:val="009060E6"/>
    <w:rsid w:val="00906363"/>
    <w:rsid w:val="00906A43"/>
    <w:rsid w:val="00906C20"/>
    <w:rsid w:val="00906E3C"/>
    <w:rsid w:val="00906FB9"/>
    <w:rsid w:val="009070A7"/>
    <w:rsid w:val="009071FC"/>
    <w:rsid w:val="00907479"/>
    <w:rsid w:val="00907520"/>
    <w:rsid w:val="00907CF1"/>
    <w:rsid w:val="00910229"/>
    <w:rsid w:val="00910611"/>
    <w:rsid w:val="00910833"/>
    <w:rsid w:val="00910C63"/>
    <w:rsid w:val="00910CD7"/>
    <w:rsid w:val="00910D61"/>
    <w:rsid w:val="009114C7"/>
    <w:rsid w:val="0091171E"/>
    <w:rsid w:val="0091176F"/>
    <w:rsid w:val="009117F7"/>
    <w:rsid w:val="009118F5"/>
    <w:rsid w:val="009118F9"/>
    <w:rsid w:val="00911C86"/>
    <w:rsid w:val="00911ECB"/>
    <w:rsid w:val="00911F34"/>
    <w:rsid w:val="009122B7"/>
    <w:rsid w:val="0091246B"/>
    <w:rsid w:val="0091256D"/>
    <w:rsid w:val="00912690"/>
    <w:rsid w:val="009128E8"/>
    <w:rsid w:val="00912B42"/>
    <w:rsid w:val="00912C83"/>
    <w:rsid w:val="00912DA6"/>
    <w:rsid w:val="009131A9"/>
    <w:rsid w:val="009133BC"/>
    <w:rsid w:val="009134CA"/>
    <w:rsid w:val="00913977"/>
    <w:rsid w:val="00913A19"/>
    <w:rsid w:val="00913B90"/>
    <w:rsid w:val="009141D1"/>
    <w:rsid w:val="00914203"/>
    <w:rsid w:val="00914281"/>
    <w:rsid w:val="00914293"/>
    <w:rsid w:val="00914376"/>
    <w:rsid w:val="00914C87"/>
    <w:rsid w:val="00914D6E"/>
    <w:rsid w:val="0091503B"/>
    <w:rsid w:val="0091592E"/>
    <w:rsid w:val="00915AB6"/>
    <w:rsid w:val="00915F4D"/>
    <w:rsid w:val="0091623E"/>
    <w:rsid w:val="009163F2"/>
    <w:rsid w:val="009166E1"/>
    <w:rsid w:val="00916C3A"/>
    <w:rsid w:val="00916E8F"/>
    <w:rsid w:val="00916EF9"/>
    <w:rsid w:val="00917166"/>
    <w:rsid w:val="00917445"/>
    <w:rsid w:val="00917560"/>
    <w:rsid w:val="0091760A"/>
    <w:rsid w:val="009179B2"/>
    <w:rsid w:val="00917BD5"/>
    <w:rsid w:val="00917C2E"/>
    <w:rsid w:val="00917E5D"/>
    <w:rsid w:val="00917F2C"/>
    <w:rsid w:val="00917F6F"/>
    <w:rsid w:val="00920191"/>
    <w:rsid w:val="00920640"/>
    <w:rsid w:val="00920663"/>
    <w:rsid w:val="009207BC"/>
    <w:rsid w:val="00920949"/>
    <w:rsid w:val="009209DD"/>
    <w:rsid w:val="009209EE"/>
    <w:rsid w:val="00920BDB"/>
    <w:rsid w:val="00920EAB"/>
    <w:rsid w:val="00921590"/>
    <w:rsid w:val="00921891"/>
    <w:rsid w:val="00921CCD"/>
    <w:rsid w:val="00921ECC"/>
    <w:rsid w:val="00922400"/>
    <w:rsid w:val="009228DD"/>
    <w:rsid w:val="009229AF"/>
    <w:rsid w:val="00922F1C"/>
    <w:rsid w:val="00922F9D"/>
    <w:rsid w:val="009231C2"/>
    <w:rsid w:val="0092354C"/>
    <w:rsid w:val="0092361D"/>
    <w:rsid w:val="009236C7"/>
    <w:rsid w:val="00923E75"/>
    <w:rsid w:val="0092452A"/>
    <w:rsid w:val="009245A1"/>
    <w:rsid w:val="00924794"/>
    <w:rsid w:val="0092482B"/>
    <w:rsid w:val="00924DEA"/>
    <w:rsid w:val="00924F75"/>
    <w:rsid w:val="009255E0"/>
    <w:rsid w:val="0092560D"/>
    <w:rsid w:val="00925644"/>
    <w:rsid w:val="0092573C"/>
    <w:rsid w:val="00925867"/>
    <w:rsid w:val="00925992"/>
    <w:rsid w:val="00925DD5"/>
    <w:rsid w:val="00926203"/>
    <w:rsid w:val="00926382"/>
    <w:rsid w:val="0092649C"/>
    <w:rsid w:val="009264D2"/>
    <w:rsid w:val="00926A44"/>
    <w:rsid w:val="00926B50"/>
    <w:rsid w:val="00926CAE"/>
    <w:rsid w:val="0092752C"/>
    <w:rsid w:val="0092789C"/>
    <w:rsid w:val="00927F34"/>
    <w:rsid w:val="00930216"/>
    <w:rsid w:val="0093076E"/>
    <w:rsid w:val="00930A51"/>
    <w:rsid w:val="009312E2"/>
    <w:rsid w:val="00931A0B"/>
    <w:rsid w:val="00931A98"/>
    <w:rsid w:val="00931FA8"/>
    <w:rsid w:val="00931FC8"/>
    <w:rsid w:val="0093213A"/>
    <w:rsid w:val="009321E6"/>
    <w:rsid w:val="0093234D"/>
    <w:rsid w:val="00932674"/>
    <w:rsid w:val="009329A6"/>
    <w:rsid w:val="00932A87"/>
    <w:rsid w:val="00932CBB"/>
    <w:rsid w:val="009331C3"/>
    <w:rsid w:val="00933229"/>
    <w:rsid w:val="009335CA"/>
    <w:rsid w:val="009335F5"/>
    <w:rsid w:val="00933951"/>
    <w:rsid w:val="00933A62"/>
    <w:rsid w:val="00934566"/>
    <w:rsid w:val="00934643"/>
    <w:rsid w:val="00934780"/>
    <w:rsid w:val="0093485E"/>
    <w:rsid w:val="009348A1"/>
    <w:rsid w:val="00934E32"/>
    <w:rsid w:val="0093518F"/>
    <w:rsid w:val="00935C85"/>
    <w:rsid w:val="00935CA8"/>
    <w:rsid w:val="00935CB0"/>
    <w:rsid w:val="00935FE5"/>
    <w:rsid w:val="009363AB"/>
    <w:rsid w:val="00936689"/>
    <w:rsid w:val="009366C5"/>
    <w:rsid w:val="00936B71"/>
    <w:rsid w:val="00936ED8"/>
    <w:rsid w:val="009370E1"/>
    <w:rsid w:val="009370FC"/>
    <w:rsid w:val="0093714C"/>
    <w:rsid w:val="00937501"/>
    <w:rsid w:val="00937624"/>
    <w:rsid w:val="00937C62"/>
    <w:rsid w:val="00937EB7"/>
    <w:rsid w:val="00940348"/>
    <w:rsid w:val="00940430"/>
    <w:rsid w:val="00940600"/>
    <w:rsid w:val="00940871"/>
    <w:rsid w:val="009408F1"/>
    <w:rsid w:val="009409B3"/>
    <w:rsid w:val="00940BD8"/>
    <w:rsid w:val="00940CD7"/>
    <w:rsid w:val="00940D59"/>
    <w:rsid w:val="00940DB8"/>
    <w:rsid w:val="00941155"/>
    <w:rsid w:val="00941177"/>
    <w:rsid w:val="009413C1"/>
    <w:rsid w:val="009414C1"/>
    <w:rsid w:val="00941815"/>
    <w:rsid w:val="0094185F"/>
    <w:rsid w:val="00941C32"/>
    <w:rsid w:val="00941DA9"/>
    <w:rsid w:val="009422C9"/>
    <w:rsid w:val="009423D8"/>
    <w:rsid w:val="009425F9"/>
    <w:rsid w:val="00942CD6"/>
    <w:rsid w:val="00942F36"/>
    <w:rsid w:val="00942FC0"/>
    <w:rsid w:val="009430EC"/>
    <w:rsid w:val="00943146"/>
    <w:rsid w:val="00943451"/>
    <w:rsid w:val="009435B6"/>
    <w:rsid w:val="0094373F"/>
    <w:rsid w:val="00943748"/>
    <w:rsid w:val="009437D4"/>
    <w:rsid w:val="009438D7"/>
    <w:rsid w:val="00943B4C"/>
    <w:rsid w:val="00943BFB"/>
    <w:rsid w:val="0094481F"/>
    <w:rsid w:val="00944A2F"/>
    <w:rsid w:val="00944BCB"/>
    <w:rsid w:val="00944E43"/>
    <w:rsid w:val="00944F41"/>
    <w:rsid w:val="00945823"/>
    <w:rsid w:val="00945833"/>
    <w:rsid w:val="0094585C"/>
    <w:rsid w:val="00945C1B"/>
    <w:rsid w:val="00945D36"/>
    <w:rsid w:val="00945DDB"/>
    <w:rsid w:val="00945E5D"/>
    <w:rsid w:val="00945FC0"/>
    <w:rsid w:val="00946396"/>
    <w:rsid w:val="009463E2"/>
    <w:rsid w:val="009464C8"/>
    <w:rsid w:val="009465CB"/>
    <w:rsid w:val="00946B7C"/>
    <w:rsid w:val="0094727E"/>
    <w:rsid w:val="009472E7"/>
    <w:rsid w:val="00947323"/>
    <w:rsid w:val="00947492"/>
    <w:rsid w:val="00947915"/>
    <w:rsid w:val="00947A07"/>
    <w:rsid w:val="00947E32"/>
    <w:rsid w:val="00947E48"/>
    <w:rsid w:val="0095082E"/>
    <w:rsid w:val="009509FD"/>
    <w:rsid w:val="00950CE7"/>
    <w:rsid w:val="00951069"/>
    <w:rsid w:val="0095192E"/>
    <w:rsid w:val="00951AE4"/>
    <w:rsid w:val="00951F34"/>
    <w:rsid w:val="009520EE"/>
    <w:rsid w:val="00952140"/>
    <w:rsid w:val="00952519"/>
    <w:rsid w:val="00952A56"/>
    <w:rsid w:val="00952F81"/>
    <w:rsid w:val="00953212"/>
    <w:rsid w:val="00953349"/>
    <w:rsid w:val="00953445"/>
    <w:rsid w:val="009544E2"/>
    <w:rsid w:val="009548E8"/>
    <w:rsid w:val="00954A06"/>
    <w:rsid w:val="00954B9B"/>
    <w:rsid w:val="00954D85"/>
    <w:rsid w:val="00954F88"/>
    <w:rsid w:val="00955916"/>
    <w:rsid w:val="00955C76"/>
    <w:rsid w:val="00955C77"/>
    <w:rsid w:val="00956116"/>
    <w:rsid w:val="00956282"/>
    <w:rsid w:val="00956846"/>
    <w:rsid w:val="00956CDF"/>
    <w:rsid w:val="00956D70"/>
    <w:rsid w:val="00956E7B"/>
    <w:rsid w:val="00957271"/>
    <w:rsid w:val="009572D6"/>
    <w:rsid w:val="009572F7"/>
    <w:rsid w:val="009573CB"/>
    <w:rsid w:val="009573F8"/>
    <w:rsid w:val="00957441"/>
    <w:rsid w:val="00957B37"/>
    <w:rsid w:val="00957D26"/>
    <w:rsid w:val="00957DBC"/>
    <w:rsid w:val="00957FAC"/>
    <w:rsid w:val="00960053"/>
    <w:rsid w:val="00960350"/>
    <w:rsid w:val="00960371"/>
    <w:rsid w:val="00960533"/>
    <w:rsid w:val="009606C7"/>
    <w:rsid w:val="00960746"/>
    <w:rsid w:val="00960888"/>
    <w:rsid w:val="00960E77"/>
    <w:rsid w:val="0096118D"/>
    <w:rsid w:val="00961311"/>
    <w:rsid w:val="00961651"/>
    <w:rsid w:val="00961B6C"/>
    <w:rsid w:val="0096213D"/>
    <w:rsid w:val="009624D9"/>
    <w:rsid w:val="00962556"/>
    <w:rsid w:val="0096257F"/>
    <w:rsid w:val="0096291E"/>
    <w:rsid w:val="00962A3E"/>
    <w:rsid w:val="00962A99"/>
    <w:rsid w:val="00962B02"/>
    <w:rsid w:val="00962DEC"/>
    <w:rsid w:val="00962E94"/>
    <w:rsid w:val="009632B6"/>
    <w:rsid w:val="0096341A"/>
    <w:rsid w:val="00963822"/>
    <w:rsid w:val="00963E2D"/>
    <w:rsid w:val="00964425"/>
    <w:rsid w:val="00964495"/>
    <w:rsid w:val="00964537"/>
    <w:rsid w:val="0096571A"/>
    <w:rsid w:val="009659C9"/>
    <w:rsid w:val="00965E56"/>
    <w:rsid w:val="00965F20"/>
    <w:rsid w:val="009661CB"/>
    <w:rsid w:val="00966232"/>
    <w:rsid w:val="00966247"/>
    <w:rsid w:val="009664C7"/>
    <w:rsid w:val="00966792"/>
    <w:rsid w:val="0096788F"/>
    <w:rsid w:val="00967DB6"/>
    <w:rsid w:val="0097000C"/>
    <w:rsid w:val="00970318"/>
    <w:rsid w:val="0097047F"/>
    <w:rsid w:val="009706D9"/>
    <w:rsid w:val="00970F83"/>
    <w:rsid w:val="00971235"/>
    <w:rsid w:val="009715B2"/>
    <w:rsid w:val="00971802"/>
    <w:rsid w:val="00971DB8"/>
    <w:rsid w:val="00971E1E"/>
    <w:rsid w:val="00972C8C"/>
    <w:rsid w:val="009732AB"/>
    <w:rsid w:val="00973528"/>
    <w:rsid w:val="0097352F"/>
    <w:rsid w:val="00973B4C"/>
    <w:rsid w:val="00973BCC"/>
    <w:rsid w:val="00973C80"/>
    <w:rsid w:val="00973F30"/>
    <w:rsid w:val="00974241"/>
    <w:rsid w:val="009742F4"/>
    <w:rsid w:val="00974308"/>
    <w:rsid w:val="00974401"/>
    <w:rsid w:val="009746AE"/>
    <w:rsid w:val="00974916"/>
    <w:rsid w:val="00974D21"/>
    <w:rsid w:val="00974D84"/>
    <w:rsid w:val="0097645C"/>
    <w:rsid w:val="00976A28"/>
    <w:rsid w:val="00976B71"/>
    <w:rsid w:val="009774C5"/>
    <w:rsid w:val="009776F3"/>
    <w:rsid w:val="00977744"/>
    <w:rsid w:val="009779A7"/>
    <w:rsid w:val="009779CF"/>
    <w:rsid w:val="00977B3A"/>
    <w:rsid w:val="00977CDB"/>
    <w:rsid w:val="00977D86"/>
    <w:rsid w:val="00977ED8"/>
    <w:rsid w:val="00980226"/>
    <w:rsid w:val="00980280"/>
    <w:rsid w:val="0098030E"/>
    <w:rsid w:val="00980594"/>
    <w:rsid w:val="0098065B"/>
    <w:rsid w:val="00980866"/>
    <w:rsid w:val="00980B1B"/>
    <w:rsid w:val="00980B52"/>
    <w:rsid w:val="00980FD5"/>
    <w:rsid w:val="009814BA"/>
    <w:rsid w:val="00981B3B"/>
    <w:rsid w:val="00981DF3"/>
    <w:rsid w:val="00981EE4"/>
    <w:rsid w:val="00982786"/>
    <w:rsid w:val="0098289C"/>
    <w:rsid w:val="00982AAE"/>
    <w:rsid w:val="00982BE2"/>
    <w:rsid w:val="00982C3A"/>
    <w:rsid w:val="009832C1"/>
    <w:rsid w:val="0098386D"/>
    <w:rsid w:val="009838E2"/>
    <w:rsid w:val="00983A47"/>
    <w:rsid w:val="00983A98"/>
    <w:rsid w:val="00983C73"/>
    <w:rsid w:val="00983EB9"/>
    <w:rsid w:val="009844B0"/>
    <w:rsid w:val="009845A3"/>
    <w:rsid w:val="009847FA"/>
    <w:rsid w:val="009848F6"/>
    <w:rsid w:val="00984AA6"/>
    <w:rsid w:val="00984AFD"/>
    <w:rsid w:val="00984B67"/>
    <w:rsid w:val="00984C1D"/>
    <w:rsid w:val="00984C26"/>
    <w:rsid w:val="009850E7"/>
    <w:rsid w:val="0098525B"/>
    <w:rsid w:val="00985717"/>
    <w:rsid w:val="00985770"/>
    <w:rsid w:val="009857D5"/>
    <w:rsid w:val="00985833"/>
    <w:rsid w:val="00985886"/>
    <w:rsid w:val="009859DD"/>
    <w:rsid w:val="00985AB6"/>
    <w:rsid w:val="00985D51"/>
    <w:rsid w:val="009863AC"/>
    <w:rsid w:val="009864DC"/>
    <w:rsid w:val="009864E2"/>
    <w:rsid w:val="00986D96"/>
    <w:rsid w:val="009872AB"/>
    <w:rsid w:val="0099001F"/>
    <w:rsid w:val="0099046B"/>
    <w:rsid w:val="00990FD7"/>
    <w:rsid w:val="009911F0"/>
    <w:rsid w:val="00991377"/>
    <w:rsid w:val="0099150A"/>
    <w:rsid w:val="009920AD"/>
    <w:rsid w:val="0099228B"/>
    <w:rsid w:val="00992472"/>
    <w:rsid w:val="00992798"/>
    <w:rsid w:val="00992AEB"/>
    <w:rsid w:val="00992BE2"/>
    <w:rsid w:val="00992ECB"/>
    <w:rsid w:val="0099305B"/>
    <w:rsid w:val="0099336E"/>
    <w:rsid w:val="00993532"/>
    <w:rsid w:val="009935C8"/>
    <w:rsid w:val="009939D8"/>
    <w:rsid w:val="00993BCC"/>
    <w:rsid w:val="00993D19"/>
    <w:rsid w:val="00993E62"/>
    <w:rsid w:val="00994282"/>
    <w:rsid w:val="0099455B"/>
    <w:rsid w:val="00994642"/>
    <w:rsid w:val="009947D9"/>
    <w:rsid w:val="0099480B"/>
    <w:rsid w:val="00994811"/>
    <w:rsid w:val="00994AD1"/>
    <w:rsid w:val="00994F0D"/>
    <w:rsid w:val="00995A6D"/>
    <w:rsid w:val="00995BEE"/>
    <w:rsid w:val="00995DE2"/>
    <w:rsid w:val="0099600B"/>
    <w:rsid w:val="00996517"/>
    <w:rsid w:val="009965F7"/>
    <w:rsid w:val="0099667E"/>
    <w:rsid w:val="009966DC"/>
    <w:rsid w:val="00996876"/>
    <w:rsid w:val="00997360"/>
    <w:rsid w:val="009973E7"/>
    <w:rsid w:val="00997536"/>
    <w:rsid w:val="00997957"/>
    <w:rsid w:val="00997CC6"/>
    <w:rsid w:val="0099F126"/>
    <w:rsid w:val="009A02AC"/>
    <w:rsid w:val="009A036B"/>
    <w:rsid w:val="009A0411"/>
    <w:rsid w:val="009A0427"/>
    <w:rsid w:val="009A049D"/>
    <w:rsid w:val="009A067B"/>
    <w:rsid w:val="009A070E"/>
    <w:rsid w:val="009A071F"/>
    <w:rsid w:val="009A0733"/>
    <w:rsid w:val="009A074A"/>
    <w:rsid w:val="009A0B4C"/>
    <w:rsid w:val="009A0D08"/>
    <w:rsid w:val="009A0F4B"/>
    <w:rsid w:val="009A142F"/>
    <w:rsid w:val="009A1564"/>
    <w:rsid w:val="009A2267"/>
    <w:rsid w:val="009A257E"/>
    <w:rsid w:val="009A2911"/>
    <w:rsid w:val="009A2A9D"/>
    <w:rsid w:val="009A2D35"/>
    <w:rsid w:val="009A30CC"/>
    <w:rsid w:val="009A35B5"/>
    <w:rsid w:val="009A38D8"/>
    <w:rsid w:val="009A39E3"/>
    <w:rsid w:val="009A3BE9"/>
    <w:rsid w:val="009A3D42"/>
    <w:rsid w:val="009A3F93"/>
    <w:rsid w:val="009A3F9E"/>
    <w:rsid w:val="009A3FE6"/>
    <w:rsid w:val="009A4179"/>
    <w:rsid w:val="009A4536"/>
    <w:rsid w:val="009A4E42"/>
    <w:rsid w:val="009A4ECD"/>
    <w:rsid w:val="009A4F40"/>
    <w:rsid w:val="009A4F7F"/>
    <w:rsid w:val="009A5101"/>
    <w:rsid w:val="009A519B"/>
    <w:rsid w:val="009A526D"/>
    <w:rsid w:val="009A52ED"/>
    <w:rsid w:val="009A5411"/>
    <w:rsid w:val="009A58E0"/>
    <w:rsid w:val="009A5CDC"/>
    <w:rsid w:val="009A6CFD"/>
    <w:rsid w:val="009A6F23"/>
    <w:rsid w:val="009A74A9"/>
    <w:rsid w:val="009A76DF"/>
    <w:rsid w:val="009A78ED"/>
    <w:rsid w:val="009A78FE"/>
    <w:rsid w:val="009A7B00"/>
    <w:rsid w:val="009B00A8"/>
    <w:rsid w:val="009B03AF"/>
    <w:rsid w:val="009B0731"/>
    <w:rsid w:val="009B0996"/>
    <w:rsid w:val="009B0B4D"/>
    <w:rsid w:val="009B0C1C"/>
    <w:rsid w:val="009B10DA"/>
    <w:rsid w:val="009B1175"/>
    <w:rsid w:val="009B1219"/>
    <w:rsid w:val="009B125B"/>
    <w:rsid w:val="009B14DB"/>
    <w:rsid w:val="009B163B"/>
    <w:rsid w:val="009B16EF"/>
    <w:rsid w:val="009B1A4D"/>
    <w:rsid w:val="009B1CAA"/>
    <w:rsid w:val="009B1D72"/>
    <w:rsid w:val="009B1F1C"/>
    <w:rsid w:val="009B1F99"/>
    <w:rsid w:val="009B2236"/>
    <w:rsid w:val="009B2295"/>
    <w:rsid w:val="009B245C"/>
    <w:rsid w:val="009B24C8"/>
    <w:rsid w:val="009B2875"/>
    <w:rsid w:val="009B2D68"/>
    <w:rsid w:val="009B2DC1"/>
    <w:rsid w:val="009B33C0"/>
    <w:rsid w:val="009B369A"/>
    <w:rsid w:val="009B36F9"/>
    <w:rsid w:val="009B37F1"/>
    <w:rsid w:val="009B3EAD"/>
    <w:rsid w:val="009B3ED9"/>
    <w:rsid w:val="009B4053"/>
    <w:rsid w:val="009B4124"/>
    <w:rsid w:val="009B4582"/>
    <w:rsid w:val="009B49E6"/>
    <w:rsid w:val="009B4CB4"/>
    <w:rsid w:val="009B51C7"/>
    <w:rsid w:val="009B5328"/>
    <w:rsid w:val="009B5413"/>
    <w:rsid w:val="009B5987"/>
    <w:rsid w:val="009B5B5A"/>
    <w:rsid w:val="009B5F66"/>
    <w:rsid w:val="009B6AE3"/>
    <w:rsid w:val="009B6B57"/>
    <w:rsid w:val="009B6BA1"/>
    <w:rsid w:val="009B6CD8"/>
    <w:rsid w:val="009B6EFF"/>
    <w:rsid w:val="009B7615"/>
    <w:rsid w:val="009B7BEA"/>
    <w:rsid w:val="009C000B"/>
    <w:rsid w:val="009C0097"/>
    <w:rsid w:val="009C099D"/>
    <w:rsid w:val="009C0C35"/>
    <w:rsid w:val="009C0D60"/>
    <w:rsid w:val="009C0F87"/>
    <w:rsid w:val="009C1014"/>
    <w:rsid w:val="009C1262"/>
    <w:rsid w:val="009C1504"/>
    <w:rsid w:val="009C180A"/>
    <w:rsid w:val="009C1B7D"/>
    <w:rsid w:val="009C2060"/>
    <w:rsid w:val="009C2278"/>
    <w:rsid w:val="009C2305"/>
    <w:rsid w:val="009C28B3"/>
    <w:rsid w:val="009C2D83"/>
    <w:rsid w:val="009C327C"/>
    <w:rsid w:val="009C32C7"/>
    <w:rsid w:val="009C36CB"/>
    <w:rsid w:val="009C3A56"/>
    <w:rsid w:val="009C3B5D"/>
    <w:rsid w:val="009C4313"/>
    <w:rsid w:val="009C458C"/>
    <w:rsid w:val="009C458E"/>
    <w:rsid w:val="009C45BF"/>
    <w:rsid w:val="009C4A36"/>
    <w:rsid w:val="009C4A50"/>
    <w:rsid w:val="009C4D99"/>
    <w:rsid w:val="009C519E"/>
    <w:rsid w:val="009C52CB"/>
    <w:rsid w:val="009C5422"/>
    <w:rsid w:val="009C5587"/>
    <w:rsid w:val="009C562F"/>
    <w:rsid w:val="009C58AA"/>
    <w:rsid w:val="009C58B4"/>
    <w:rsid w:val="009C5CFE"/>
    <w:rsid w:val="009C5E02"/>
    <w:rsid w:val="009C5F02"/>
    <w:rsid w:val="009C63FC"/>
    <w:rsid w:val="009C696F"/>
    <w:rsid w:val="009C6A3A"/>
    <w:rsid w:val="009C6D92"/>
    <w:rsid w:val="009C6EC0"/>
    <w:rsid w:val="009C6F61"/>
    <w:rsid w:val="009C7126"/>
    <w:rsid w:val="009C7212"/>
    <w:rsid w:val="009C76FD"/>
    <w:rsid w:val="009C7E0A"/>
    <w:rsid w:val="009C7E1A"/>
    <w:rsid w:val="009C7E6D"/>
    <w:rsid w:val="009D012B"/>
    <w:rsid w:val="009D01BF"/>
    <w:rsid w:val="009D060B"/>
    <w:rsid w:val="009D081A"/>
    <w:rsid w:val="009D0993"/>
    <w:rsid w:val="009D0A3B"/>
    <w:rsid w:val="009D0A75"/>
    <w:rsid w:val="009D0CB3"/>
    <w:rsid w:val="009D111E"/>
    <w:rsid w:val="009D1171"/>
    <w:rsid w:val="009D1F1A"/>
    <w:rsid w:val="009D214A"/>
    <w:rsid w:val="009D234A"/>
    <w:rsid w:val="009D2476"/>
    <w:rsid w:val="009D2576"/>
    <w:rsid w:val="009D25B9"/>
    <w:rsid w:val="009D26DF"/>
    <w:rsid w:val="009D27E7"/>
    <w:rsid w:val="009D2A3E"/>
    <w:rsid w:val="009D2AB2"/>
    <w:rsid w:val="009D2DB1"/>
    <w:rsid w:val="009D2E53"/>
    <w:rsid w:val="009D2F12"/>
    <w:rsid w:val="009D301C"/>
    <w:rsid w:val="009D3654"/>
    <w:rsid w:val="009D37F2"/>
    <w:rsid w:val="009D3835"/>
    <w:rsid w:val="009D3B15"/>
    <w:rsid w:val="009D3EF2"/>
    <w:rsid w:val="009D40A6"/>
    <w:rsid w:val="009D485C"/>
    <w:rsid w:val="009D48DA"/>
    <w:rsid w:val="009D4A69"/>
    <w:rsid w:val="009D4AD3"/>
    <w:rsid w:val="009D4C92"/>
    <w:rsid w:val="009D4ED1"/>
    <w:rsid w:val="009D51E3"/>
    <w:rsid w:val="009D59DA"/>
    <w:rsid w:val="009D5C25"/>
    <w:rsid w:val="009D5F63"/>
    <w:rsid w:val="009D60D3"/>
    <w:rsid w:val="009D66E2"/>
    <w:rsid w:val="009D6BA1"/>
    <w:rsid w:val="009D6BD9"/>
    <w:rsid w:val="009D75B8"/>
    <w:rsid w:val="009D7897"/>
    <w:rsid w:val="009D7B13"/>
    <w:rsid w:val="009D7B83"/>
    <w:rsid w:val="009D7C49"/>
    <w:rsid w:val="009D7C58"/>
    <w:rsid w:val="009D7D56"/>
    <w:rsid w:val="009D7F26"/>
    <w:rsid w:val="009E0934"/>
    <w:rsid w:val="009E0B6A"/>
    <w:rsid w:val="009E0BE6"/>
    <w:rsid w:val="009E0F43"/>
    <w:rsid w:val="009E10FC"/>
    <w:rsid w:val="009E1630"/>
    <w:rsid w:val="009E1BC2"/>
    <w:rsid w:val="009E222A"/>
    <w:rsid w:val="009E2269"/>
    <w:rsid w:val="009E2721"/>
    <w:rsid w:val="009E2728"/>
    <w:rsid w:val="009E273C"/>
    <w:rsid w:val="009E28DB"/>
    <w:rsid w:val="009E2B7F"/>
    <w:rsid w:val="009E2DB2"/>
    <w:rsid w:val="009E32FD"/>
    <w:rsid w:val="009E3453"/>
    <w:rsid w:val="009E3592"/>
    <w:rsid w:val="009E3770"/>
    <w:rsid w:val="009E37C4"/>
    <w:rsid w:val="009E3807"/>
    <w:rsid w:val="009E3AF5"/>
    <w:rsid w:val="009E3DBA"/>
    <w:rsid w:val="009E403B"/>
    <w:rsid w:val="009E42DD"/>
    <w:rsid w:val="009E447D"/>
    <w:rsid w:val="009E45D0"/>
    <w:rsid w:val="009E4641"/>
    <w:rsid w:val="009E471F"/>
    <w:rsid w:val="009E474C"/>
    <w:rsid w:val="009E478A"/>
    <w:rsid w:val="009E4B3D"/>
    <w:rsid w:val="009E5085"/>
    <w:rsid w:val="009E51EA"/>
    <w:rsid w:val="009E52D1"/>
    <w:rsid w:val="009E56A5"/>
    <w:rsid w:val="009E577B"/>
    <w:rsid w:val="009E5B6D"/>
    <w:rsid w:val="009E5F11"/>
    <w:rsid w:val="009E6260"/>
    <w:rsid w:val="009E63F5"/>
    <w:rsid w:val="009E64C0"/>
    <w:rsid w:val="009E66EC"/>
    <w:rsid w:val="009E6951"/>
    <w:rsid w:val="009E6CA0"/>
    <w:rsid w:val="009E6D81"/>
    <w:rsid w:val="009E6E84"/>
    <w:rsid w:val="009E7484"/>
    <w:rsid w:val="009E7566"/>
    <w:rsid w:val="009E75C1"/>
    <w:rsid w:val="009E775E"/>
    <w:rsid w:val="009E7B24"/>
    <w:rsid w:val="009E7BBD"/>
    <w:rsid w:val="009F043F"/>
    <w:rsid w:val="009F0853"/>
    <w:rsid w:val="009F0961"/>
    <w:rsid w:val="009F09ED"/>
    <w:rsid w:val="009F1130"/>
    <w:rsid w:val="009F13EE"/>
    <w:rsid w:val="009F15B7"/>
    <w:rsid w:val="009F186F"/>
    <w:rsid w:val="009F1A8A"/>
    <w:rsid w:val="009F2028"/>
    <w:rsid w:val="009F204D"/>
    <w:rsid w:val="009F2287"/>
    <w:rsid w:val="009F249D"/>
    <w:rsid w:val="009F251D"/>
    <w:rsid w:val="009F26B9"/>
    <w:rsid w:val="009F2834"/>
    <w:rsid w:val="009F2EE1"/>
    <w:rsid w:val="009F30DB"/>
    <w:rsid w:val="009F36C9"/>
    <w:rsid w:val="009F3D3D"/>
    <w:rsid w:val="009F3FBC"/>
    <w:rsid w:val="009F41F6"/>
    <w:rsid w:val="009F4867"/>
    <w:rsid w:val="009F49DC"/>
    <w:rsid w:val="009F4A5F"/>
    <w:rsid w:val="009F4A8E"/>
    <w:rsid w:val="009F4B1E"/>
    <w:rsid w:val="009F4F5E"/>
    <w:rsid w:val="009F4F6C"/>
    <w:rsid w:val="009F509E"/>
    <w:rsid w:val="009F520B"/>
    <w:rsid w:val="009F537B"/>
    <w:rsid w:val="009F567E"/>
    <w:rsid w:val="009F5944"/>
    <w:rsid w:val="009F59AA"/>
    <w:rsid w:val="009F5A7C"/>
    <w:rsid w:val="009F616C"/>
    <w:rsid w:val="009F627E"/>
    <w:rsid w:val="009F6C44"/>
    <w:rsid w:val="009F6CAF"/>
    <w:rsid w:val="009F6DA3"/>
    <w:rsid w:val="009F6DB9"/>
    <w:rsid w:val="009F6FEF"/>
    <w:rsid w:val="009F7067"/>
    <w:rsid w:val="009F7507"/>
    <w:rsid w:val="009F77B6"/>
    <w:rsid w:val="009F7C08"/>
    <w:rsid w:val="009F7CC3"/>
    <w:rsid w:val="009F7E52"/>
    <w:rsid w:val="00A001F6"/>
    <w:rsid w:val="00A004F0"/>
    <w:rsid w:val="00A0054B"/>
    <w:rsid w:val="00A0055B"/>
    <w:rsid w:val="00A00661"/>
    <w:rsid w:val="00A009FA"/>
    <w:rsid w:val="00A00ACB"/>
    <w:rsid w:val="00A00B7F"/>
    <w:rsid w:val="00A00CE6"/>
    <w:rsid w:val="00A01174"/>
    <w:rsid w:val="00A01552"/>
    <w:rsid w:val="00A01594"/>
    <w:rsid w:val="00A01658"/>
    <w:rsid w:val="00A0170C"/>
    <w:rsid w:val="00A01A77"/>
    <w:rsid w:val="00A02037"/>
    <w:rsid w:val="00A02069"/>
    <w:rsid w:val="00A024E2"/>
    <w:rsid w:val="00A02AAB"/>
    <w:rsid w:val="00A02AC1"/>
    <w:rsid w:val="00A030F5"/>
    <w:rsid w:val="00A032B0"/>
    <w:rsid w:val="00A03486"/>
    <w:rsid w:val="00A034BE"/>
    <w:rsid w:val="00A03A1B"/>
    <w:rsid w:val="00A03F4C"/>
    <w:rsid w:val="00A03F93"/>
    <w:rsid w:val="00A04051"/>
    <w:rsid w:val="00A048D5"/>
    <w:rsid w:val="00A04F75"/>
    <w:rsid w:val="00A05439"/>
    <w:rsid w:val="00A054CD"/>
    <w:rsid w:val="00A05566"/>
    <w:rsid w:val="00A05C11"/>
    <w:rsid w:val="00A05DFB"/>
    <w:rsid w:val="00A062F2"/>
    <w:rsid w:val="00A06460"/>
    <w:rsid w:val="00A06837"/>
    <w:rsid w:val="00A06BD0"/>
    <w:rsid w:val="00A06EDE"/>
    <w:rsid w:val="00A070DA"/>
    <w:rsid w:val="00A0717C"/>
    <w:rsid w:val="00A07578"/>
    <w:rsid w:val="00A0778F"/>
    <w:rsid w:val="00A07C67"/>
    <w:rsid w:val="00A10082"/>
    <w:rsid w:val="00A101FF"/>
    <w:rsid w:val="00A108C1"/>
    <w:rsid w:val="00A10F94"/>
    <w:rsid w:val="00A111F4"/>
    <w:rsid w:val="00A1131E"/>
    <w:rsid w:val="00A11449"/>
    <w:rsid w:val="00A1145A"/>
    <w:rsid w:val="00A115A0"/>
    <w:rsid w:val="00A11A05"/>
    <w:rsid w:val="00A11A6E"/>
    <w:rsid w:val="00A11E27"/>
    <w:rsid w:val="00A12276"/>
    <w:rsid w:val="00A12539"/>
    <w:rsid w:val="00A125A4"/>
    <w:rsid w:val="00A1269E"/>
    <w:rsid w:val="00A12894"/>
    <w:rsid w:val="00A12951"/>
    <w:rsid w:val="00A12B12"/>
    <w:rsid w:val="00A12DFE"/>
    <w:rsid w:val="00A13162"/>
    <w:rsid w:val="00A13AF7"/>
    <w:rsid w:val="00A13D49"/>
    <w:rsid w:val="00A13E05"/>
    <w:rsid w:val="00A13E7F"/>
    <w:rsid w:val="00A13FDC"/>
    <w:rsid w:val="00A14377"/>
    <w:rsid w:val="00A146B9"/>
    <w:rsid w:val="00A14705"/>
    <w:rsid w:val="00A14792"/>
    <w:rsid w:val="00A147CF"/>
    <w:rsid w:val="00A14BAF"/>
    <w:rsid w:val="00A14E12"/>
    <w:rsid w:val="00A14E83"/>
    <w:rsid w:val="00A14FC4"/>
    <w:rsid w:val="00A15324"/>
    <w:rsid w:val="00A15689"/>
    <w:rsid w:val="00A15910"/>
    <w:rsid w:val="00A16331"/>
    <w:rsid w:val="00A16415"/>
    <w:rsid w:val="00A1660E"/>
    <w:rsid w:val="00A171F7"/>
    <w:rsid w:val="00A17797"/>
    <w:rsid w:val="00A17A17"/>
    <w:rsid w:val="00A17A6E"/>
    <w:rsid w:val="00A17BC5"/>
    <w:rsid w:val="00A17CA2"/>
    <w:rsid w:val="00A17F75"/>
    <w:rsid w:val="00A17FBE"/>
    <w:rsid w:val="00A200D9"/>
    <w:rsid w:val="00A20462"/>
    <w:rsid w:val="00A2121E"/>
    <w:rsid w:val="00A21EF6"/>
    <w:rsid w:val="00A223CF"/>
    <w:rsid w:val="00A2268E"/>
    <w:rsid w:val="00A226BC"/>
    <w:rsid w:val="00A22735"/>
    <w:rsid w:val="00A22A81"/>
    <w:rsid w:val="00A22FC2"/>
    <w:rsid w:val="00A23221"/>
    <w:rsid w:val="00A23314"/>
    <w:rsid w:val="00A2359B"/>
    <w:rsid w:val="00A236C9"/>
    <w:rsid w:val="00A2389A"/>
    <w:rsid w:val="00A23BAD"/>
    <w:rsid w:val="00A23D48"/>
    <w:rsid w:val="00A23D53"/>
    <w:rsid w:val="00A2400F"/>
    <w:rsid w:val="00A2435B"/>
    <w:rsid w:val="00A243C6"/>
    <w:rsid w:val="00A24881"/>
    <w:rsid w:val="00A24B2E"/>
    <w:rsid w:val="00A24C7A"/>
    <w:rsid w:val="00A24D45"/>
    <w:rsid w:val="00A24EEF"/>
    <w:rsid w:val="00A256B2"/>
    <w:rsid w:val="00A25A2B"/>
    <w:rsid w:val="00A25AE8"/>
    <w:rsid w:val="00A25BD1"/>
    <w:rsid w:val="00A25F3F"/>
    <w:rsid w:val="00A26006"/>
    <w:rsid w:val="00A2677B"/>
    <w:rsid w:val="00A26789"/>
    <w:rsid w:val="00A268C8"/>
    <w:rsid w:val="00A26E3C"/>
    <w:rsid w:val="00A27228"/>
    <w:rsid w:val="00A272EF"/>
    <w:rsid w:val="00A27643"/>
    <w:rsid w:val="00A277CB"/>
    <w:rsid w:val="00A27858"/>
    <w:rsid w:val="00A27ADB"/>
    <w:rsid w:val="00A27FD9"/>
    <w:rsid w:val="00A30032"/>
    <w:rsid w:val="00A300FA"/>
    <w:rsid w:val="00A30223"/>
    <w:rsid w:val="00A30739"/>
    <w:rsid w:val="00A309D3"/>
    <w:rsid w:val="00A31376"/>
    <w:rsid w:val="00A31378"/>
    <w:rsid w:val="00A3159A"/>
    <w:rsid w:val="00A31F4B"/>
    <w:rsid w:val="00A323F7"/>
    <w:rsid w:val="00A3251F"/>
    <w:rsid w:val="00A32B9A"/>
    <w:rsid w:val="00A3311F"/>
    <w:rsid w:val="00A337EB"/>
    <w:rsid w:val="00A33920"/>
    <w:rsid w:val="00A339EA"/>
    <w:rsid w:val="00A33A79"/>
    <w:rsid w:val="00A33CBF"/>
    <w:rsid w:val="00A33D88"/>
    <w:rsid w:val="00A33EAE"/>
    <w:rsid w:val="00A34010"/>
    <w:rsid w:val="00A3429F"/>
    <w:rsid w:val="00A34668"/>
    <w:rsid w:val="00A348FF"/>
    <w:rsid w:val="00A34B48"/>
    <w:rsid w:val="00A34BBD"/>
    <w:rsid w:val="00A34DE7"/>
    <w:rsid w:val="00A34EFF"/>
    <w:rsid w:val="00A350EC"/>
    <w:rsid w:val="00A35213"/>
    <w:rsid w:val="00A35520"/>
    <w:rsid w:val="00A35737"/>
    <w:rsid w:val="00A35CC5"/>
    <w:rsid w:val="00A36148"/>
    <w:rsid w:val="00A361E8"/>
    <w:rsid w:val="00A366D7"/>
    <w:rsid w:val="00A36E38"/>
    <w:rsid w:val="00A36EF2"/>
    <w:rsid w:val="00A36FB2"/>
    <w:rsid w:val="00A377CB"/>
    <w:rsid w:val="00A37861"/>
    <w:rsid w:val="00A40473"/>
    <w:rsid w:val="00A4049C"/>
    <w:rsid w:val="00A4058D"/>
    <w:rsid w:val="00A406D8"/>
    <w:rsid w:val="00A406E6"/>
    <w:rsid w:val="00A4079E"/>
    <w:rsid w:val="00A408E5"/>
    <w:rsid w:val="00A40C5B"/>
    <w:rsid w:val="00A40DA0"/>
    <w:rsid w:val="00A40F96"/>
    <w:rsid w:val="00A4155F"/>
    <w:rsid w:val="00A4161C"/>
    <w:rsid w:val="00A41C6C"/>
    <w:rsid w:val="00A41EFC"/>
    <w:rsid w:val="00A42206"/>
    <w:rsid w:val="00A42400"/>
    <w:rsid w:val="00A42805"/>
    <w:rsid w:val="00A42DDC"/>
    <w:rsid w:val="00A43033"/>
    <w:rsid w:val="00A4311B"/>
    <w:rsid w:val="00A43212"/>
    <w:rsid w:val="00A432EA"/>
    <w:rsid w:val="00A43558"/>
    <w:rsid w:val="00A43ABA"/>
    <w:rsid w:val="00A43B30"/>
    <w:rsid w:val="00A4407D"/>
    <w:rsid w:val="00A444ED"/>
    <w:rsid w:val="00A448EC"/>
    <w:rsid w:val="00A44993"/>
    <w:rsid w:val="00A44A15"/>
    <w:rsid w:val="00A44B4A"/>
    <w:rsid w:val="00A44F58"/>
    <w:rsid w:val="00A453A8"/>
    <w:rsid w:val="00A45484"/>
    <w:rsid w:val="00A45746"/>
    <w:rsid w:val="00A45C43"/>
    <w:rsid w:val="00A45D21"/>
    <w:rsid w:val="00A4640D"/>
    <w:rsid w:val="00A4649C"/>
    <w:rsid w:val="00A4653A"/>
    <w:rsid w:val="00A465F0"/>
    <w:rsid w:val="00A466FB"/>
    <w:rsid w:val="00A46765"/>
    <w:rsid w:val="00A46A78"/>
    <w:rsid w:val="00A47571"/>
    <w:rsid w:val="00A47672"/>
    <w:rsid w:val="00A4777A"/>
    <w:rsid w:val="00A47806"/>
    <w:rsid w:val="00A47934"/>
    <w:rsid w:val="00A47C4F"/>
    <w:rsid w:val="00A47F32"/>
    <w:rsid w:val="00A504DE"/>
    <w:rsid w:val="00A505A3"/>
    <w:rsid w:val="00A50757"/>
    <w:rsid w:val="00A50E1B"/>
    <w:rsid w:val="00A50E48"/>
    <w:rsid w:val="00A50F97"/>
    <w:rsid w:val="00A51867"/>
    <w:rsid w:val="00A518EA"/>
    <w:rsid w:val="00A51996"/>
    <w:rsid w:val="00A51B5F"/>
    <w:rsid w:val="00A52111"/>
    <w:rsid w:val="00A523FD"/>
    <w:rsid w:val="00A52438"/>
    <w:rsid w:val="00A524D1"/>
    <w:rsid w:val="00A524DF"/>
    <w:rsid w:val="00A526ED"/>
    <w:rsid w:val="00A52B17"/>
    <w:rsid w:val="00A530EC"/>
    <w:rsid w:val="00A53209"/>
    <w:rsid w:val="00A5330B"/>
    <w:rsid w:val="00A533F0"/>
    <w:rsid w:val="00A53A90"/>
    <w:rsid w:val="00A53D1C"/>
    <w:rsid w:val="00A53DCA"/>
    <w:rsid w:val="00A53E8A"/>
    <w:rsid w:val="00A53ED7"/>
    <w:rsid w:val="00A53F6D"/>
    <w:rsid w:val="00A54523"/>
    <w:rsid w:val="00A54664"/>
    <w:rsid w:val="00A549C9"/>
    <w:rsid w:val="00A54A7B"/>
    <w:rsid w:val="00A54E7B"/>
    <w:rsid w:val="00A54EC8"/>
    <w:rsid w:val="00A54FCA"/>
    <w:rsid w:val="00A550E7"/>
    <w:rsid w:val="00A5518B"/>
    <w:rsid w:val="00A553DF"/>
    <w:rsid w:val="00A554B1"/>
    <w:rsid w:val="00A55534"/>
    <w:rsid w:val="00A5572E"/>
    <w:rsid w:val="00A55776"/>
    <w:rsid w:val="00A557D0"/>
    <w:rsid w:val="00A5590D"/>
    <w:rsid w:val="00A55B09"/>
    <w:rsid w:val="00A55CC1"/>
    <w:rsid w:val="00A55DB5"/>
    <w:rsid w:val="00A562BD"/>
    <w:rsid w:val="00A563B6"/>
    <w:rsid w:val="00A56611"/>
    <w:rsid w:val="00A57FF7"/>
    <w:rsid w:val="00A60001"/>
    <w:rsid w:val="00A602EA"/>
    <w:rsid w:val="00A60388"/>
    <w:rsid w:val="00A60398"/>
    <w:rsid w:val="00A605F4"/>
    <w:rsid w:val="00A6064A"/>
    <w:rsid w:val="00A60857"/>
    <w:rsid w:val="00A60957"/>
    <w:rsid w:val="00A609A9"/>
    <w:rsid w:val="00A60B6E"/>
    <w:rsid w:val="00A60F49"/>
    <w:rsid w:val="00A6166C"/>
    <w:rsid w:val="00A617E9"/>
    <w:rsid w:val="00A61A1A"/>
    <w:rsid w:val="00A62214"/>
    <w:rsid w:val="00A6292D"/>
    <w:rsid w:val="00A62A3E"/>
    <w:rsid w:val="00A62B97"/>
    <w:rsid w:val="00A62BD4"/>
    <w:rsid w:val="00A62C6C"/>
    <w:rsid w:val="00A631D8"/>
    <w:rsid w:val="00A63329"/>
    <w:rsid w:val="00A633AF"/>
    <w:rsid w:val="00A63DE3"/>
    <w:rsid w:val="00A63E70"/>
    <w:rsid w:val="00A63F73"/>
    <w:rsid w:val="00A640CC"/>
    <w:rsid w:val="00A644F3"/>
    <w:rsid w:val="00A646A2"/>
    <w:rsid w:val="00A64A83"/>
    <w:rsid w:val="00A64B26"/>
    <w:rsid w:val="00A64C31"/>
    <w:rsid w:val="00A64E1F"/>
    <w:rsid w:val="00A64FB0"/>
    <w:rsid w:val="00A6505E"/>
    <w:rsid w:val="00A65291"/>
    <w:rsid w:val="00A65492"/>
    <w:rsid w:val="00A658CE"/>
    <w:rsid w:val="00A65935"/>
    <w:rsid w:val="00A65AED"/>
    <w:rsid w:val="00A65BAF"/>
    <w:rsid w:val="00A65F91"/>
    <w:rsid w:val="00A6608B"/>
    <w:rsid w:val="00A661DE"/>
    <w:rsid w:val="00A669C4"/>
    <w:rsid w:val="00A66A14"/>
    <w:rsid w:val="00A67050"/>
    <w:rsid w:val="00A671C5"/>
    <w:rsid w:val="00A67359"/>
    <w:rsid w:val="00A67679"/>
    <w:rsid w:val="00A6767F"/>
    <w:rsid w:val="00A67CED"/>
    <w:rsid w:val="00A67F2F"/>
    <w:rsid w:val="00A70048"/>
    <w:rsid w:val="00A70303"/>
    <w:rsid w:val="00A704C8"/>
    <w:rsid w:val="00A70683"/>
    <w:rsid w:val="00A707E0"/>
    <w:rsid w:val="00A7096D"/>
    <w:rsid w:val="00A71007"/>
    <w:rsid w:val="00A710C3"/>
    <w:rsid w:val="00A7125D"/>
    <w:rsid w:val="00A714FA"/>
    <w:rsid w:val="00A715D3"/>
    <w:rsid w:val="00A71D32"/>
    <w:rsid w:val="00A721D7"/>
    <w:rsid w:val="00A72504"/>
    <w:rsid w:val="00A7275B"/>
    <w:rsid w:val="00A7290E"/>
    <w:rsid w:val="00A72F7C"/>
    <w:rsid w:val="00A72FBC"/>
    <w:rsid w:val="00A7315C"/>
    <w:rsid w:val="00A731DD"/>
    <w:rsid w:val="00A734C6"/>
    <w:rsid w:val="00A735BD"/>
    <w:rsid w:val="00A7373F"/>
    <w:rsid w:val="00A73889"/>
    <w:rsid w:val="00A7396A"/>
    <w:rsid w:val="00A739B3"/>
    <w:rsid w:val="00A73E1D"/>
    <w:rsid w:val="00A74044"/>
    <w:rsid w:val="00A74204"/>
    <w:rsid w:val="00A7443B"/>
    <w:rsid w:val="00A74625"/>
    <w:rsid w:val="00A74B56"/>
    <w:rsid w:val="00A74D6D"/>
    <w:rsid w:val="00A7536C"/>
    <w:rsid w:val="00A753DB"/>
    <w:rsid w:val="00A75431"/>
    <w:rsid w:val="00A757E0"/>
    <w:rsid w:val="00A75C0D"/>
    <w:rsid w:val="00A75C9E"/>
    <w:rsid w:val="00A75CE7"/>
    <w:rsid w:val="00A761C3"/>
    <w:rsid w:val="00A76DA0"/>
    <w:rsid w:val="00A76E82"/>
    <w:rsid w:val="00A76FB8"/>
    <w:rsid w:val="00A77222"/>
    <w:rsid w:val="00A777A0"/>
    <w:rsid w:val="00A77872"/>
    <w:rsid w:val="00A7794F"/>
    <w:rsid w:val="00A77E11"/>
    <w:rsid w:val="00A77E21"/>
    <w:rsid w:val="00A804C9"/>
    <w:rsid w:val="00A808DA"/>
    <w:rsid w:val="00A80B50"/>
    <w:rsid w:val="00A80C79"/>
    <w:rsid w:val="00A80DB4"/>
    <w:rsid w:val="00A80F2B"/>
    <w:rsid w:val="00A8130F"/>
    <w:rsid w:val="00A816EF"/>
    <w:rsid w:val="00A81A84"/>
    <w:rsid w:val="00A81C07"/>
    <w:rsid w:val="00A81DA6"/>
    <w:rsid w:val="00A82304"/>
    <w:rsid w:val="00A8255E"/>
    <w:rsid w:val="00A827C5"/>
    <w:rsid w:val="00A8290D"/>
    <w:rsid w:val="00A8295E"/>
    <w:rsid w:val="00A82A66"/>
    <w:rsid w:val="00A82AFD"/>
    <w:rsid w:val="00A82BB5"/>
    <w:rsid w:val="00A82F09"/>
    <w:rsid w:val="00A82F2B"/>
    <w:rsid w:val="00A83023"/>
    <w:rsid w:val="00A830EC"/>
    <w:rsid w:val="00A83465"/>
    <w:rsid w:val="00A83806"/>
    <w:rsid w:val="00A83831"/>
    <w:rsid w:val="00A838B2"/>
    <w:rsid w:val="00A83CEE"/>
    <w:rsid w:val="00A840AD"/>
    <w:rsid w:val="00A841A9"/>
    <w:rsid w:val="00A84232"/>
    <w:rsid w:val="00A8459F"/>
    <w:rsid w:val="00A84838"/>
    <w:rsid w:val="00A8490A"/>
    <w:rsid w:val="00A84CB9"/>
    <w:rsid w:val="00A84F47"/>
    <w:rsid w:val="00A85339"/>
    <w:rsid w:val="00A854F8"/>
    <w:rsid w:val="00A85681"/>
    <w:rsid w:val="00A85CE6"/>
    <w:rsid w:val="00A8625A"/>
    <w:rsid w:val="00A8649D"/>
    <w:rsid w:val="00A86A71"/>
    <w:rsid w:val="00A86C61"/>
    <w:rsid w:val="00A8701A"/>
    <w:rsid w:val="00A87139"/>
    <w:rsid w:val="00A876D8"/>
    <w:rsid w:val="00A877AD"/>
    <w:rsid w:val="00A87B07"/>
    <w:rsid w:val="00A87B77"/>
    <w:rsid w:val="00A87E80"/>
    <w:rsid w:val="00A9048A"/>
    <w:rsid w:val="00A9062C"/>
    <w:rsid w:val="00A906D2"/>
    <w:rsid w:val="00A90D43"/>
    <w:rsid w:val="00A90D8E"/>
    <w:rsid w:val="00A90E2A"/>
    <w:rsid w:val="00A9122C"/>
    <w:rsid w:val="00A91326"/>
    <w:rsid w:val="00A91350"/>
    <w:rsid w:val="00A9187D"/>
    <w:rsid w:val="00A91941"/>
    <w:rsid w:val="00A91A55"/>
    <w:rsid w:val="00A920FF"/>
    <w:rsid w:val="00A9217C"/>
    <w:rsid w:val="00A923FF"/>
    <w:rsid w:val="00A928BC"/>
    <w:rsid w:val="00A92AB8"/>
    <w:rsid w:val="00A92C61"/>
    <w:rsid w:val="00A92CB1"/>
    <w:rsid w:val="00A930C5"/>
    <w:rsid w:val="00A93446"/>
    <w:rsid w:val="00A9378C"/>
    <w:rsid w:val="00A939AD"/>
    <w:rsid w:val="00A93BE7"/>
    <w:rsid w:val="00A93CCB"/>
    <w:rsid w:val="00A94150"/>
    <w:rsid w:val="00A945E7"/>
    <w:rsid w:val="00A9498B"/>
    <w:rsid w:val="00A94C09"/>
    <w:rsid w:val="00A95113"/>
    <w:rsid w:val="00A951DE"/>
    <w:rsid w:val="00A952ED"/>
    <w:rsid w:val="00A95540"/>
    <w:rsid w:val="00A95CF0"/>
    <w:rsid w:val="00A95D0E"/>
    <w:rsid w:val="00A96065"/>
    <w:rsid w:val="00A96694"/>
    <w:rsid w:val="00A97615"/>
    <w:rsid w:val="00A97759"/>
    <w:rsid w:val="00A97985"/>
    <w:rsid w:val="00A97A34"/>
    <w:rsid w:val="00A97C8C"/>
    <w:rsid w:val="00AA0234"/>
    <w:rsid w:val="00AA02D0"/>
    <w:rsid w:val="00AA08C3"/>
    <w:rsid w:val="00AA0B01"/>
    <w:rsid w:val="00AA0E4F"/>
    <w:rsid w:val="00AA12FC"/>
    <w:rsid w:val="00AA132C"/>
    <w:rsid w:val="00AA19D0"/>
    <w:rsid w:val="00AA1C03"/>
    <w:rsid w:val="00AA20C3"/>
    <w:rsid w:val="00AA20CE"/>
    <w:rsid w:val="00AA20D6"/>
    <w:rsid w:val="00AA2154"/>
    <w:rsid w:val="00AA238E"/>
    <w:rsid w:val="00AA2C7F"/>
    <w:rsid w:val="00AA2CF1"/>
    <w:rsid w:val="00AA3346"/>
    <w:rsid w:val="00AA347A"/>
    <w:rsid w:val="00AA3525"/>
    <w:rsid w:val="00AA3848"/>
    <w:rsid w:val="00AA38FF"/>
    <w:rsid w:val="00AA47BE"/>
    <w:rsid w:val="00AA4960"/>
    <w:rsid w:val="00AA4AF4"/>
    <w:rsid w:val="00AA4D19"/>
    <w:rsid w:val="00AA4D5D"/>
    <w:rsid w:val="00AA4F39"/>
    <w:rsid w:val="00AA4FC9"/>
    <w:rsid w:val="00AA5376"/>
    <w:rsid w:val="00AA54B6"/>
    <w:rsid w:val="00AA6098"/>
    <w:rsid w:val="00AA6203"/>
    <w:rsid w:val="00AA62E9"/>
    <w:rsid w:val="00AA631B"/>
    <w:rsid w:val="00AA65BC"/>
    <w:rsid w:val="00AA6941"/>
    <w:rsid w:val="00AA6BF2"/>
    <w:rsid w:val="00AA6D3C"/>
    <w:rsid w:val="00AA6F6B"/>
    <w:rsid w:val="00AA7470"/>
    <w:rsid w:val="00AA74E6"/>
    <w:rsid w:val="00AA755E"/>
    <w:rsid w:val="00AA7928"/>
    <w:rsid w:val="00AA7BA5"/>
    <w:rsid w:val="00AA7CE3"/>
    <w:rsid w:val="00AA7EFA"/>
    <w:rsid w:val="00AB0471"/>
    <w:rsid w:val="00AB0AF3"/>
    <w:rsid w:val="00AB0FCC"/>
    <w:rsid w:val="00AB10AE"/>
    <w:rsid w:val="00AB15D3"/>
    <w:rsid w:val="00AB185C"/>
    <w:rsid w:val="00AB1D86"/>
    <w:rsid w:val="00AB1F25"/>
    <w:rsid w:val="00AB1F30"/>
    <w:rsid w:val="00AB2000"/>
    <w:rsid w:val="00AB21A2"/>
    <w:rsid w:val="00AB2229"/>
    <w:rsid w:val="00AB24C1"/>
    <w:rsid w:val="00AB2869"/>
    <w:rsid w:val="00AB2EF3"/>
    <w:rsid w:val="00AB2F5E"/>
    <w:rsid w:val="00AB30D5"/>
    <w:rsid w:val="00AB357B"/>
    <w:rsid w:val="00AB3892"/>
    <w:rsid w:val="00AB3C25"/>
    <w:rsid w:val="00AB4250"/>
    <w:rsid w:val="00AB4865"/>
    <w:rsid w:val="00AB4C44"/>
    <w:rsid w:val="00AB509D"/>
    <w:rsid w:val="00AB5458"/>
    <w:rsid w:val="00AB5C21"/>
    <w:rsid w:val="00AB5E36"/>
    <w:rsid w:val="00AB5E3A"/>
    <w:rsid w:val="00AB60B0"/>
    <w:rsid w:val="00AB6231"/>
    <w:rsid w:val="00AB6300"/>
    <w:rsid w:val="00AB746A"/>
    <w:rsid w:val="00AB758C"/>
    <w:rsid w:val="00AB75E8"/>
    <w:rsid w:val="00AB7ED1"/>
    <w:rsid w:val="00AB7F26"/>
    <w:rsid w:val="00AC0119"/>
    <w:rsid w:val="00AC05C5"/>
    <w:rsid w:val="00AC0750"/>
    <w:rsid w:val="00AC0D3A"/>
    <w:rsid w:val="00AC14DD"/>
    <w:rsid w:val="00AC15D8"/>
    <w:rsid w:val="00AC1834"/>
    <w:rsid w:val="00AC1922"/>
    <w:rsid w:val="00AC1B77"/>
    <w:rsid w:val="00AC1BE9"/>
    <w:rsid w:val="00AC1DF1"/>
    <w:rsid w:val="00AC1EDB"/>
    <w:rsid w:val="00AC238C"/>
    <w:rsid w:val="00AC2BF0"/>
    <w:rsid w:val="00AC2C39"/>
    <w:rsid w:val="00AC2E4F"/>
    <w:rsid w:val="00AC2F07"/>
    <w:rsid w:val="00AC307F"/>
    <w:rsid w:val="00AC3502"/>
    <w:rsid w:val="00AC3C6A"/>
    <w:rsid w:val="00AC3FA9"/>
    <w:rsid w:val="00AC3FAC"/>
    <w:rsid w:val="00AC40DA"/>
    <w:rsid w:val="00AC4192"/>
    <w:rsid w:val="00AC41B4"/>
    <w:rsid w:val="00AC4972"/>
    <w:rsid w:val="00AC4B18"/>
    <w:rsid w:val="00AC4D20"/>
    <w:rsid w:val="00AC53C8"/>
    <w:rsid w:val="00AC5535"/>
    <w:rsid w:val="00AC59AE"/>
    <w:rsid w:val="00AC59BB"/>
    <w:rsid w:val="00AC5C96"/>
    <w:rsid w:val="00AC5DE1"/>
    <w:rsid w:val="00AC5F6C"/>
    <w:rsid w:val="00AC6086"/>
    <w:rsid w:val="00AC6094"/>
    <w:rsid w:val="00AC62E4"/>
    <w:rsid w:val="00AC6311"/>
    <w:rsid w:val="00AC66CC"/>
    <w:rsid w:val="00AC6B29"/>
    <w:rsid w:val="00AC6C97"/>
    <w:rsid w:val="00AC6D33"/>
    <w:rsid w:val="00AC6D70"/>
    <w:rsid w:val="00AC7567"/>
    <w:rsid w:val="00AC7B52"/>
    <w:rsid w:val="00AC7B86"/>
    <w:rsid w:val="00AC7F13"/>
    <w:rsid w:val="00AD01DE"/>
    <w:rsid w:val="00AD02BF"/>
    <w:rsid w:val="00AD04E0"/>
    <w:rsid w:val="00AD06DF"/>
    <w:rsid w:val="00AD07E6"/>
    <w:rsid w:val="00AD0A26"/>
    <w:rsid w:val="00AD1109"/>
    <w:rsid w:val="00AD1123"/>
    <w:rsid w:val="00AD1606"/>
    <w:rsid w:val="00AD1681"/>
    <w:rsid w:val="00AD1BF6"/>
    <w:rsid w:val="00AD1D4E"/>
    <w:rsid w:val="00AD2289"/>
    <w:rsid w:val="00AD24F9"/>
    <w:rsid w:val="00AD2B53"/>
    <w:rsid w:val="00AD2CB0"/>
    <w:rsid w:val="00AD2D06"/>
    <w:rsid w:val="00AD2EFD"/>
    <w:rsid w:val="00AD2F18"/>
    <w:rsid w:val="00AD300B"/>
    <w:rsid w:val="00AD32DC"/>
    <w:rsid w:val="00AD34C9"/>
    <w:rsid w:val="00AD3740"/>
    <w:rsid w:val="00AD3A9F"/>
    <w:rsid w:val="00AD4028"/>
    <w:rsid w:val="00AD454B"/>
    <w:rsid w:val="00AD49C2"/>
    <w:rsid w:val="00AD4AA1"/>
    <w:rsid w:val="00AD545D"/>
    <w:rsid w:val="00AD5689"/>
    <w:rsid w:val="00AD583F"/>
    <w:rsid w:val="00AD5A35"/>
    <w:rsid w:val="00AD5AF4"/>
    <w:rsid w:val="00AD5C05"/>
    <w:rsid w:val="00AD6267"/>
    <w:rsid w:val="00AD6645"/>
    <w:rsid w:val="00AD69F1"/>
    <w:rsid w:val="00AD733A"/>
    <w:rsid w:val="00AD741B"/>
    <w:rsid w:val="00AD7606"/>
    <w:rsid w:val="00AD7623"/>
    <w:rsid w:val="00AD7980"/>
    <w:rsid w:val="00AD7B38"/>
    <w:rsid w:val="00AD7FB2"/>
    <w:rsid w:val="00AE0042"/>
    <w:rsid w:val="00AE0274"/>
    <w:rsid w:val="00AE084D"/>
    <w:rsid w:val="00AE085B"/>
    <w:rsid w:val="00AE093B"/>
    <w:rsid w:val="00AE1403"/>
    <w:rsid w:val="00AE148B"/>
    <w:rsid w:val="00AE158F"/>
    <w:rsid w:val="00AE15EF"/>
    <w:rsid w:val="00AE173C"/>
    <w:rsid w:val="00AE1AAE"/>
    <w:rsid w:val="00AE1BE3"/>
    <w:rsid w:val="00AE21B4"/>
    <w:rsid w:val="00AE231A"/>
    <w:rsid w:val="00AE246C"/>
    <w:rsid w:val="00AE30B8"/>
    <w:rsid w:val="00AE3827"/>
    <w:rsid w:val="00AE392D"/>
    <w:rsid w:val="00AE3AC0"/>
    <w:rsid w:val="00AE3F17"/>
    <w:rsid w:val="00AE4337"/>
    <w:rsid w:val="00AE4342"/>
    <w:rsid w:val="00AE458E"/>
    <w:rsid w:val="00AE465E"/>
    <w:rsid w:val="00AE46B8"/>
    <w:rsid w:val="00AE4E05"/>
    <w:rsid w:val="00AE53E7"/>
    <w:rsid w:val="00AE543D"/>
    <w:rsid w:val="00AE567F"/>
    <w:rsid w:val="00AE56A1"/>
    <w:rsid w:val="00AE56A2"/>
    <w:rsid w:val="00AE5819"/>
    <w:rsid w:val="00AE586B"/>
    <w:rsid w:val="00AE5A60"/>
    <w:rsid w:val="00AE5CC7"/>
    <w:rsid w:val="00AE6146"/>
    <w:rsid w:val="00AE622C"/>
    <w:rsid w:val="00AE6681"/>
    <w:rsid w:val="00AE68DD"/>
    <w:rsid w:val="00AE6994"/>
    <w:rsid w:val="00AE6DFF"/>
    <w:rsid w:val="00AE740D"/>
    <w:rsid w:val="00AE7860"/>
    <w:rsid w:val="00AE7BA7"/>
    <w:rsid w:val="00AF03B3"/>
    <w:rsid w:val="00AF042E"/>
    <w:rsid w:val="00AF0701"/>
    <w:rsid w:val="00AF077E"/>
    <w:rsid w:val="00AF08BB"/>
    <w:rsid w:val="00AF0D16"/>
    <w:rsid w:val="00AF125F"/>
    <w:rsid w:val="00AF13BF"/>
    <w:rsid w:val="00AF15B8"/>
    <w:rsid w:val="00AF16D1"/>
    <w:rsid w:val="00AF1882"/>
    <w:rsid w:val="00AF1D15"/>
    <w:rsid w:val="00AF26FC"/>
    <w:rsid w:val="00AF2A56"/>
    <w:rsid w:val="00AF2ACF"/>
    <w:rsid w:val="00AF32ED"/>
    <w:rsid w:val="00AF33F6"/>
    <w:rsid w:val="00AF3AC3"/>
    <w:rsid w:val="00AF3AE4"/>
    <w:rsid w:val="00AF3F12"/>
    <w:rsid w:val="00AF405D"/>
    <w:rsid w:val="00AF43A7"/>
    <w:rsid w:val="00AF45F3"/>
    <w:rsid w:val="00AF4684"/>
    <w:rsid w:val="00AF4CEC"/>
    <w:rsid w:val="00AF4F59"/>
    <w:rsid w:val="00AF5280"/>
    <w:rsid w:val="00AF590A"/>
    <w:rsid w:val="00AF5DC4"/>
    <w:rsid w:val="00AF5F41"/>
    <w:rsid w:val="00AF5F5C"/>
    <w:rsid w:val="00AF623E"/>
    <w:rsid w:val="00AF62F1"/>
    <w:rsid w:val="00AF6F97"/>
    <w:rsid w:val="00AF7198"/>
    <w:rsid w:val="00AF764A"/>
    <w:rsid w:val="00AF767C"/>
    <w:rsid w:val="00AF7821"/>
    <w:rsid w:val="00AF7966"/>
    <w:rsid w:val="00AF7DF5"/>
    <w:rsid w:val="00B00042"/>
    <w:rsid w:val="00B006E8"/>
    <w:rsid w:val="00B008A2"/>
    <w:rsid w:val="00B00C48"/>
    <w:rsid w:val="00B011A3"/>
    <w:rsid w:val="00B011CB"/>
    <w:rsid w:val="00B01619"/>
    <w:rsid w:val="00B016C1"/>
    <w:rsid w:val="00B016E4"/>
    <w:rsid w:val="00B017B4"/>
    <w:rsid w:val="00B0183D"/>
    <w:rsid w:val="00B018ED"/>
    <w:rsid w:val="00B01D6F"/>
    <w:rsid w:val="00B02180"/>
    <w:rsid w:val="00B022FC"/>
    <w:rsid w:val="00B02333"/>
    <w:rsid w:val="00B02697"/>
    <w:rsid w:val="00B02864"/>
    <w:rsid w:val="00B0289D"/>
    <w:rsid w:val="00B029AD"/>
    <w:rsid w:val="00B02B6D"/>
    <w:rsid w:val="00B02BFA"/>
    <w:rsid w:val="00B02DEF"/>
    <w:rsid w:val="00B03046"/>
    <w:rsid w:val="00B03231"/>
    <w:rsid w:val="00B0350E"/>
    <w:rsid w:val="00B03696"/>
    <w:rsid w:val="00B03FFB"/>
    <w:rsid w:val="00B041E5"/>
    <w:rsid w:val="00B043A5"/>
    <w:rsid w:val="00B0496E"/>
    <w:rsid w:val="00B04B44"/>
    <w:rsid w:val="00B04D82"/>
    <w:rsid w:val="00B05C15"/>
    <w:rsid w:val="00B05CDE"/>
    <w:rsid w:val="00B05EB5"/>
    <w:rsid w:val="00B05EDA"/>
    <w:rsid w:val="00B06121"/>
    <w:rsid w:val="00B0681C"/>
    <w:rsid w:val="00B0696B"/>
    <w:rsid w:val="00B069FC"/>
    <w:rsid w:val="00B06DFC"/>
    <w:rsid w:val="00B06E42"/>
    <w:rsid w:val="00B06F7A"/>
    <w:rsid w:val="00B06FAC"/>
    <w:rsid w:val="00B07192"/>
    <w:rsid w:val="00B07356"/>
    <w:rsid w:val="00B0767C"/>
    <w:rsid w:val="00B108E6"/>
    <w:rsid w:val="00B109D8"/>
    <w:rsid w:val="00B10D73"/>
    <w:rsid w:val="00B10E23"/>
    <w:rsid w:val="00B113DD"/>
    <w:rsid w:val="00B113E5"/>
    <w:rsid w:val="00B11598"/>
    <w:rsid w:val="00B117B1"/>
    <w:rsid w:val="00B11BBE"/>
    <w:rsid w:val="00B11FD6"/>
    <w:rsid w:val="00B12315"/>
    <w:rsid w:val="00B1252E"/>
    <w:rsid w:val="00B13350"/>
    <w:rsid w:val="00B135BE"/>
    <w:rsid w:val="00B13D98"/>
    <w:rsid w:val="00B141F1"/>
    <w:rsid w:val="00B14291"/>
    <w:rsid w:val="00B1460C"/>
    <w:rsid w:val="00B14C1A"/>
    <w:rsid w:val="00B14E25"/>
    <w:rsid w:val="00B15097"/>
    <w:rsid w:val="00B150E5"/>
    <w:rsid w:val="00B1521D"/>
    <w:rsid w:val="00B15491"/>
    <w:rsid w:val="00B15672"/>
    <w:rsid w:val="00B15878"/>
    <w:rsid w:val="00B15A65"/>
    <w:rsid w:val="00B15B72"/>
    <w:rsid w:val="00B167B8"/>
    <w:rsid w:val="00B16D8E"/>
    <w:rsid w:val="00B16E5D"/>
    <w:rsid w:val="00B16EA5"/>
    <w:rsid w:val="00B16F65"/>
    <w:rsid w:val="00B17017"/>
    <w:rsid w:val="00B17388"/>
    <w:rsid w:val="00B17544"/>
    <w:rsid w:val="00B175D7"/>
    <w:rsid w:val="00B1763B"/>
    <w:rsid w:val="00B17D65"/>
    <w:rsid w:val="00B17F1B"/>
    <w:rsid w:val="00B20061"/>
    <w:rsid w:val="00B2088A"/>
    <w:rsid w:val="00B208AB"/>
    <w:rsid w:val="00B2155E"/>
    <w:rsid w:val="00B216BC"/>
    <w:rsid w:val="00B21C2E"/>
    <w:rsid w:val="00B21E66"/>
    <w:rsid w:val="00B21FD6"/>
    <w:rsid w:val="00B22748"/>
    <w:rsid w:val="00B22B8F"/>
    <w:rsid w:val="00B22E11"/>
    <w:rsid w:val="00B22E69"/>
    <w:rsid w:val="00B232B8"/>
    <w:rsid w:val="00B2353C"/>
    <w:rsid w:val="00B238D6"/>
    <w:rsid w:val="00B2391B"/>
    <w:rsid w:val="00B23A16"/>
    <w:rsid w:val="00B23D57"/>
    <w:rsid w:val="00B23DE0"/>
    <w:rsid w:val="00B245A8"/>
    <w:rsid w:val="00B246E6"/>
    <w:rsid w:val="00B247AB"/>
    <w:rsid w:val="00B24B18"/>
    <w:rsid w:val="00B24C3F"/>
    <w:rsid w:val="00B24CDE"/>
    <w:rsid w:val="00B24EA9"/>
    <w:rsid w:val="00B24EE0"/>
    <w:rsid w:val="00B24EE1"/>
    <w:rsid w:val="00B24F10"/>
    <w:rsid w:val="00B250FE"/>
    <w:rsid w:val="00B2539D"/>
    <w:rsid w:val="00B25406"/>
    <w:rsid w:val="00B25431"/>
    <w:rsid w:val="00B25660"/>
    <w:rsid w:val="00B25AB0"/>
    <w:rsid w:val="00B25B81"/>
    <w:rsid w:val="00B26183"/>
    <w:rsid w:val="00B267A1"/>
    <w:rsid w:val="00B267D9"/>
    <w:rsid w:val="00B2697B"/>
    <w:rsid w:val="00B26BDE"/>
    <w:rsid w:val="00B26C16"/>
    <w:rsid w:val="00B26D3F"/>
    <w:rsid w:val="00B2741E"/>
    <w:rsid w:val="00B2747D"/>
    <w:rsid w:val="00B27546"/>
    <w:rsid w:val="00B27732"/>
    <w:rsid w:val="00B27C76"/>
    <w:rsid w:val="00B27D80"/>
    <w:rsid w:val="00B27FD9"/>
    <w:rsid w:val="00B30499"/>
    <w:rsid w:val="00B30565"/>
    <w:rsid w:val="00B3078C"/>
    <w:rsid w:val="00B307B0"/>
    <w:rsid w:val="00B3085A"/>
    <w:rsid w:val="00B309C5"/>
    <w:rsid w:val="00B30A30"/>
    <w:rsid w:val="00B30AF2"/>
    <w:rsid w:val="00B30C2E"/>
    <w:rsid w:val="00B311F8"/>
    <w:rsid w:val="00B3129A"/>
    <w:rsid w:val="00B31473"/>
    <w:rsid w:val="00B319DE"/>
    <w:rsid w:val="00B31D3E"/>
    <w:rsid w:val="00B31DDE"/>
    <w:rsid w:val="00B31F9D"/>
    <w:rsid w:val="00B31FB6"/>
    <w:rsid w:val="00B3379E"/>
    <w:rsid w:val="00B337F5"/>
    <w:rsid w:val="00B33952"/>
    <w:rsid w:val="00B3409D"/>
    <w:rsid w:val="00B34153"/>
    <w:rsid w:val="00B34488"/>
    <w:rsid w:val="00B34733"/>
    <w:rsid w:val="00B34B0B"/>
    <w:rsid w:val="00B34B83"/>
    <w:rsid w:val="00B3545D"/>
    <w:rsid w:val="00B35568"/>
    <w:rsid w:val="00B35590"/>
    <w:rsid w:val="00B35A9B"/>
    <w:rsid w:val="00B35BCD"/>
    <w:rsid w:val="00B35D9F"/>
    <w:rsid w:val="00B366BB"/>
    <w:rsid w:val="00B36E8D"/>
    <w:rsid w:val="00B37038"/>
    <w:rsid w:val="00B3705D"/>
    <w:rsid w:val="00B37190"/>
    <w:rsid w:val="00B37419"/>
    <w:rsid w:val="00B37456"/>
    <w:rsid w:val="00B37490"/>
    <w:rsid w:val="00B37595"/>
    <w:rsid w:val="00B37F3F"/>
    <w:rsid w:val="00B407D3"/>
    <w:rsid w:val="00B40823"/>
    <w:rsid w:val="00B40CF1"/>
    <w:rsid w:val="00B40F77"/>
    <w:rsid w:val="00B4112D"/>
    <w:rsid w:val="00B4131F"/>
    <w:rsid w:val="00B41419"/>
    <w:rsid w:val="00B41527"/>
    <w:rsid w:val="00B41589"/>
    <w:rsid w:val="00B417B4"/>
    <w:rsid w:val="00B4188A"/>
    <w:rsid w:val="00B41905"/>
    <w:rsid w:val="00B41B8C"/>
    <w:rsid w:val="00B41E3B"/>
    <w:rsid w:val="00B42112"/>
    <w:rsid w:val="00B4231D"/>
    <w:rsid w:val="00B429B4"/>
    <w:rsid w:val="00B42ABC"/>
    <w:rsid w:val="00B431A8"/>
    <w:rsid w:val="00B43318"/>
    <w:rsid w:val="00B43396"/>
    <w:rsid w:val="00B433BF"/>
    <w:rsid w:val="00B43681"/>
    <w:rsid w:val="00B4380B"/>
    <w:rsid w:val="00B43A10"/>
    <w:rsid w:val="00B44090"/>
    <w:rsid w:val="00B446C4"/>
    <w:rsid w:val="00B44B33"/>
    <w:rsid w:val="00B44B39"/>
    <w:rsid w:val="00B44D88"/>
    <w:rsid w:val="00B44F14"/>
    <w:rsid w:val="00B44F3B"/>
    <w:rsid w:val="00B45042"/>
    <w:rsid w:val="00B45260"/>
    <w:rsid w:val="00B45A13"/>
    <w:rsid w:val="00B45E52"/>
    <w:rsid w:val="00B46279"/>
    <w:rsid w:val="00B46372"/>
    <w:rsid w:val="00B46496"/>
    <w:rsid w:val="00B464BF"/>
    <w:rsid w:val="00B46634"/>
    <w:rsid w:val="00B46C0A"/>
    <w:rsid w:val="00B46FC6"/>
    <w:rsid w:val="00B4757E"/>
    <w:rsid w:val="00B47624"/>
    <w:rsid w:val="00B47903"/>
    <w:rsid w:val="00B47967"/>
    <w:rsid w:val="00B479E9"/>
    <w:rsid w:val="00B47E26"/>
    <w:rsid w:val="00B47ED4"/>
    <w:rsid w:val="00B47FA9"/>
    <w:rsid w:val="00B50042"/>
    <w:rsid w:val="00B5019C"/>
    <w:rsid w:val="00B50B49"/>
    <w:rsid w:val="00B51186"/>
    <w:rsid w:val="00B5171E"/>
    <w:rsid w:val="00B51C31"/>
    <w:rsid w:val="00B51DE0"/>
    <w:rsid w:val="00B5239B"/>
    <w:rsid w:val="00B523FE"/>
    <w:rsid w:val="00B529A4"/>
    <w:rsid w:val="00B52B9D"/>
    <w:rsid w:val="00B52CFB"/>
    <w:rsid w:val="00B5348C"/>
    <w:rsid w:val="00B534D4"/>
    <w:rsid w:val="00B5367C"/>
    <w:rsid w:val="00B5368C"/>
    <w:rsid w:val="00B53727"/>
    <w:rsid w:val="00B539D3"/>
    <w:rsid w:val="00B53B29"/>
    <w:rsid w:val="00B53CCA"/>
    <w:rsid w:val="00B53D45"/>
    <w:rsid w:val="00B54060"/>
    <w:rsid w:val="00B54145"/>
    <w:rsid w:val="00B5473D"/>
    <w:rsid w:val="00B5486C"/>
    <w:rsid w:val="00B548BE"/>
    <w:rsid w:val="00B54DFB"/>
    <w:rsid w:val="00B54F07"/>
    <w:rsid w:val="00B54FF8"/>
    <w:rsid w:val="00B5503B"/>
    <w:rsid w:val="00B551C5"/>
    <w:rsid w:val="00B5536D"/>
    <w:rsid w:val="00B55E70"/>
    <w:rsid w:val="00B55FDC"/>
    <w:rsid w:val="00B56252"/>
    <w:rsid w:val="00B562A9"/>
    <w:rsid w:val="00B563A7"/>
    <w:rsid w:val="00B563FF"/>
    <w:rsid w:val="00B56666"/>
    <w:rsid w:val="00B56C2B"/>
    <w:rsid w:val="00B56DB6"/>
    <w:rsid w:val="00B56F89"/>
    <w:rsid w:val="00B57477"/>
    <w:rsid w:val="00B574C7"/>
    <w:rsid w:val="00B57DB8"/>
    <w:rsid w:val="00B57DCA"/>
    <w:rsid w:val="00B57E62"/>
    <w:rsid w:val="00B57F3C"/>
    <w:rsid w:val="00B6022E"/>
    <w:rsid w:val="00B6085B"/>
    <w:rsid w:val="00B60F8A"/>
    <w:rsid w:val="00B614C9"/>
    <w:rsid w:val="00B61864"/>
    <w:rsid w:val="00B61BC4"/>
    <w:rsid w:val="00B61DE8"/>
    <w:rsid w:val="00B6220C"/>
    <w:rsid w:val="00B62230"/>
    <w:rsid w:val="00B62351"/>
    <w:rsid w:val="00B624E5"/>
    <w:rsid w:val="00B62655"/>
    <w:rsid w:val="00B626F1"/>
    <w:rsid w:val="00B62808"/>
    <w:rsid w:val="00B632AA"/>
    <w:rsid w:val="00B639B9"/>
    <w:rsid w:val="00B63AE0"/>
    <w:rsid w:val="00B63BBD"/>
    <w:rsid w:val="00B63DB5"/>
    <w:rsid w:val="00B640ED"/>
    <w:rsid w:val="00B641F9"/>
    <w:rsid w:val="00B64444"/>
    <w:rsid w:val="00B6450B"/>
    <w:rsid w:val="00B65939"/>
    <w:rsid w:val="00B65C44"/>
    <w:rsid w:val="00B65E98"/>
    <w:rsid w:val="00B65FE8"/>
    <w:rsid w:val="00B6635B"/>
    <w:rsid w:val="00B663D3"/>
    <w:rsid w:val="00B66663"/>
    <w:rsid w:val="00B667E9"/>
    <w:rsid w:val="00B66C42"/>
    <w:rsid w:val="00B66DBC"/>
    <w:rsid w:val="00B66DDB"/>
    <w:rsid w:val="00B67293"/>
    <w:rsid w:val="00B67429"/>
    <w:rsid w:val="00B67598"/>
    <w:rsid w:val="00B6772D"/>
    <w:rsid w:val="00B67835"/>
    <w:rsid w:val="00B67CD3"/>
    <w:rsid w:val="00B67D96"/>
    <w:rsid w:val="00B67E00"/>
    <w:rsid w:val="00B700D1"/>
    <w:rsid w:val="00B70130"/>
    <w:rsid w:val="00B701FB"/>
    <w:rsid w:val="00B705A0"/>
    <w:rsid w:val="00B70610"/>
    <w:rsid w:val="00B70AF4"/>
    <w:rsid w:val="00B70C23"/>
    <w:rsid w:val="00B70E24"/>
    <w:rsid w:val="00B7162B"/>
    <w:rsid w:val="00B71630"/>
    <w:rsid w:val="00B71786"/>
    <w:rsid w:val="00B719B9"/>
    <w:rsid w:val="00B71A38"/>
    <w:rsid w:val="00B71A9F"/>
    <w:rsid w:val="00B71D92"/>
    <w:rsid w:val="00B71F9F"/>
    <w:rsid w:val="00B72202"/>
    <w:rsid w:val="00B722BF"/>
    <w:rsid w:val="00B727FF"/>
    <w:rsid w:val="00B72C11"/>
    <w:rsid w:val="00B72FC7"/>
    <w:rsid w:val="00B73068"/>
    <w:rsid w:val="00B730ED"/>
    <w:rsid w:val="00B731F0"/>
    <w:rsid w:val="00B73629"/>
    <w:rsid w:val="00B736B5"/>
    <w:rsid w:val="00B73B21"/>
    <w:rsid w:val="00B73EAF"/>
    <w:rsid w:val="00B73EB8"/>
    <w:rsid w:val="00B73FBD"/>
    <w:rsid w:val="00B74D1D"/>
    <w:rsid w:val="00B74F07"/>
    <w:rsid w:val="00B750F1"/>
    <w:rsid w:val="00B755E5"/>
    <w:rsid w:val="00B7595E"/>
    <w:rsid w:val="00B75A21"/>
    <w:rsid w:val="00B75BD7"/>
    <w:rsid w:val="00B76173"/>
    <w:rsid w:val="00B7634F"/>
    <w:rsid w:val="00B7662D"/>
    <w:rsid w:val="00B76977"/>
    <w:rsid w:val="00B769B3"/>
    <w:rsid w:val="00B76BCF"/>
    <w:rsid w:val="00B76EC9"/>
    <w:rsid w:val="00B7718E"/>
    <w:rsid w:val="00B7731A"/>
    <w:rsid w:val="00B77773"/>
    <w:rsid w:val="00B7779F"/>
    <w:rsid w:val="00B777DC"/>
    <w:rsid w:val="00B800DA"/>
    <w:rsid w:val="00B803BF"/>
    <w:rsid w:val="00B80854"/>
    <w:rsid w:val="00B80920"/>
    <w:rsid w:val="00B80926"/>
    <w:rsid w:val="00B80AAC"/>
    <w:rsid w:val="00B80C19"/>
    <w:rsid w:val="00B80C59"/>
    <w:rsid w:val="00B815C2"/>
    <w:rsid w:val="00B81607"/>
    <w:rsid w:val="00B817A7"/>
    <w:rsid w:val="00B81B31"/>
    <w:rsid w:val="00B81BE0"/>
    <w:rsid w:val="00B81C7C"/>
    <w:rsid w:val="00B81CB9"/>
    <w:rsid w:val="00B81F1C"/>
    <w:rsid w:val="00B821CA"/>
    <w:rsid w:val="00B822BE"/>
    <w:rsid w:val="00B82906"/>
    <w:rsid w:val="00B82979"/>
    <w:rsid w:val="00B82993"/>
    <w:rsid w:val="00B82ABB"/>
    <w:rsid w:val="00B82BEE"/>
    <w:rsid w:val="00B82E2B"/>
    <w:rsid w:val="00B833D0"/>
    <w:rsid w:val="00B8344F"/>
    <w:rsid w:val="00B8365A"/>
    <w:rsid w:val="00B8369D"/>
    <w:rsid w:val="00B8370C"/>
    <w:rsid w:val="00B840D4"/>
    <w:rsid w:val="00B8416F"/>
    <w:rsid w:val="00B84279"/>
    <w:rsid w:val="00B843B5"/>
    <w:rsid w:val="00B8488D"/>
    <w:rsid w:val="00B848F7"/>
    <w:rsid w:val="00B8509B"/>
    <w:rsid w:val="00B85200"/>
    <w:rsid w:val="00B853EB"/>
    <w:rsid w:val="00B853FE"/>
    <w:rsid w:val="00B8545A"/>
    <w:rsid w:val="00B85466"/>
    <w:rsid w:val="00B8582F"/>
    <w:rsid w:val="00B858A8"/>
    <w:rsid w:val="00B85991"/>
    <w:rsid w:val="00B85D34"/>
    <w:rsid w:val="00B86051"/>
    <w:rsid w:val="00B868B2"/>
    <w:rsid w:val="00B86D05"/>
    <w:rsid w:val="00B87285"/>
    <w:rsid w:val="00B872ED"/>
    <w:rsid w:val="00B87456"/>
    <w:rsid w:val="00B8794B"/>
    <w:rsid w:val="00B87ABC"/>
    <w:rsid w:val="00B87C3E"/>
    <w:rsid w:val="00B87E07"/>
    <w:rsid w:val="00B87E6D"/>
    <w:rsid w:val="00B87EB1"/>
    <w:rsid w:val="00B87FBC"/>
    <w:rsid w:val="00B90147"/>
    <w:rsid w:val="00B901D7"/>
    <w:rsid w:val="00B90364"/>
    <w:rsid w:val="00B904E1"/>
    <w:rsid w:val="00B9073D"/>
    <w:rsid w:val="00B9078D"/>
    <w:rsid w:val="00B907ED"/>
    <w:rsid w:val="00B91723"/>
    <w:rsid w:val="00B91C16"/>
    <w:rsid w:val="00B91C84"/>
    <w:rsid w:val="00B9242E"/>
    <w:rsid w:val="00B92EC5"/>
    <w:rsid w:val="00B92F24"/>
    <w:rsid w:val="00B9308B"/>
    <w:rsid w:val="00B930DC"/>
    <w:rsid w:val="00B93126"/>
    <w:rsid w:val="00B93401"/>
    <w:rsid w:val="00B935A5"/>
    <w:rsid w:val="00B93C86"/>
    <w:rsid w:val="00B94CE5"/>
    <w:rsid w:val="00B95038"/>
    <w:rsid w:val="00B95059"/>
    <w:rsid w:val="00B9511E"/>
    <w:rsid w:val="00B95EF4"/>
    <w:rsid w:val="00B962E7"/>
    <w:rsid w:val="00B9648B"/>
    <w:rsid w:val="00B964A1"/>
    <w:rsid w:val="00B9678D"/>
    <w:rsid w:val="00B968C1"/>
    <w:rsid w:val="00B96935"/>
    <w:rsid w:val="00B96AC8"/>
    <w:rsid w:val="00B96AF1"/>
    <w:rsid w:val="00B97164"/>
    <w:rsid w:val="00B97712"/>
    <w:rsid w:val="00B97753"/>
    <w:rsid w:val="00B97BD4"/>
    <w:rsid w:val="00B97E54"/>
    <w:rsid w:val="00B97FB7"/>
    <w:rsid w:val="00BA057F"/>
    <w:rsid w:val="00BA0B52"/>
    <w:rsid w:val="00BA0CCE"/>
    <w:rsid w:val="00BA10EB"/>
    <w:rsid w:val="00BA1554"/>
    <w:rsid w:val="00BA16E0"/>
    <w:rsid w:val="00BA18AC"/>
    <w:rsid w:val="00BA1A2A"/>
    <w:rsid w:val="00BA1C2C"/>
    <w:rsid w:val="00BA25AD"/>
    <w:rsid w:val="00BA297B"/>
    <w:rsid w:val="00BA2C32"/>
    <w:rsid w:val="00BA2C42"/>
    <w:rsid w:val="00BA2FF0"/>
    <w:rsid w:val="00BA3189"/>
    <w:rsid w:val="00BA3196"/>
    <w:rsid w:val="00BA3A00"/>
    <w:rsid w:val="00BA42B8"/>
    <w:rsid w:val="00BA4B65"/>
    <w:rsid w:val="00BA4D1E"/>
    <w:rsid w:val="00BA4D8B"/>
    <w:rsid w:val="00BA50B6"/>
    <w:rsid w:val="00BA51B8"/>
    <w:rsid w:val="00BA52BF"/>
    <w:rsid w:val="00BA532C"/>
    <w:rsid w:val="00BA534B"/>
    <w:rsid w:val="00BA53B8"/>
    <w:rsid w:val="00BA5AC0"/>
    <w:rsid w:val="00BA5BA1"/>
    <w:rsid w:val="00BA5CCE"/>
    <w:rsid w:val="00BA5CED"/>
    <w:rsid w:val="00BA5D40"/>
    <w:rsid w:val="00BA6003"/>
    <w:rsid w:val="00BA66E8"/>
    <w:rsid w:val="00BA6A3B"/>
    <w:rsid w:val="00BA6B57"/>
    <w:rsid w:val="00BA718F"/>
    <w:rsid w:val="00BA743F"/>
    <w:rsid w:val="00BA74E8"/>
    <w:rsid w:val="00BA7AC1"/>
    <w:rsid w:val="00BA7FC8"/>
    <w:rsid w:val="00BB0269"/>
    <w:rsid w:val="00BB02DE"/>
    <w:rsid w:val="00BB0601"/>
    <w:rsid w:val="00BB067C"/>
    <w:rsid w:val="00BB0836"/>
    <w:rsid w:val="00BB0BE7"/>
    <w:rsid w:val="00BB0C18"/>
    <w:rsid w:val="00BB0EA7"/>
    <w:rsid w:val="00BB0F45"/>
    <w:rsid w:val="00BB13F5"/>
    <w:rsid w:val="00BB1715"/>
    <w:rsid w:val="00BB1994"/>
    <w:rsid w:val="00BB1DDD"/>
    <w:rsid w:val="00BB1E6D"/>
    <w:rsid w:val="00BB1FD7"/>
    <w:rsid w:val="00BB2055"/>
    <w:rsid w:val="00BB2286"/>
    <w:rsid w:val="00BB2952"/>
    <w:rsid w:val="00BB2ED8"/>
    <w:rsid w:val="00BB301D"/>
    <w:rsid w:val="00BB30E4"/>
    <w:rsid w:val="00BB37E0"/>
    <w:rsid w:val="00BB3B54"/>
    <w:rsid w:val="00BB3D7A"/>
    <w:rsid w:val="00BB3DDE"/>
    <w:rsid w:val="00BB3FD6"/>
    <w:rsid w:val="00BB4522"/>
    <w:rsid w:val="00BB4873"/>
    <w:rsid w:val="00BB4B36"/>
    <w:rsid w:val="00BB508D"/>
    <w:rsid w:val="00BB512A"/>
    <w:rsid w:val="00BB5942"/>
    <w:rsid w:val="00BB5C88"/>
    <w:rsid w:val="00BB659A"/>
    <w:rsid w:val="00BB6BBB"/>
    <w:rsid w:val="00BB6E82"/>
    <w:rsid w:val="00BB6F18"/>
    <w:rsid w:val="00BB7070"/>
    <w:rsid w:val="00BB72B2"/>
    <w:rsid w:val="00BB72DF"/>
    <w:rsid w:val="00BB733F"/>
    <w:rsid w:val="00BB735A"/>
    <w:rsid w:val="00BB7762"/>
    <w:rsid w:val="00BB7C04"/>
    <w:rsid w:val="00BB7D49"/>
    <w:rsid w:val="00BC0217"/>
    <w:rsid w:val="00BC03F8"/>
    <w:rsid w:val="00BC0478"/>
    <w:rsid w:val="00BC0A1E"/>
    <w:rsid w:val="00BC0A37"/>
    <w:rsid w:val="00BC0B8F"/>
    <w:rsid w:val="00BC0C63"/>
    <w:rsid w:val="00BC13AE"/>
    <w:rsid w:val="00BC1786"/>
    <w:rsid w:val="00BC1818"/>
    <w:rsid w:val="00BC1931"/>
    <w:rsid w:val="00BC1A3F"/>
    <w:rsid w:val="00BC1AA4"/>
    <w:rsid w:val="00BC1B06"/>
    <w:rsid w:val="00BC1D67"/>
    <w:rsid w:val="00BC1D8A"/>
    <w:rsid w:val="00BC266E"/>
    <w:rsid w:val="00BC2754"/>
    <w:rsid w:val="00BC2CA6"/>
    <w:rsid w:val="00BC2F0B"/>
    <w:rsid w:val="00BC35AF"/>
    <w:rsid w:val="00BC3A2F"/>
    <w:rsid w:val="00BC40B8"/>
    <w:rsid w:val="00BC4270"/>
    <w:rsid w:val="00BC4EE7"/>
    <w:rsid w:val="00BC5046"/>
    <w:rsid w:val="00BC576D"/>
    <w:rsid w:val="00BC5796"/>
    <w:rsid w:val="00BC57F9"/>
    <w:rsid w:val="00BC5FAB"/>
    <w:rsid w:val="00BC62B8"/>
    <w:rsid w:val="00BC67FB"/>
    <w:rsid w:val="00BC6CFD"/>
    <w:rsid w:val="00BC71D1"/>
    <w:rsid w:val="00BC7243"/>
    <w:rsid w:val="00BC7394"/>
    <w:rsid w:val="00BC73AE"/>
    <w:rsid w:val="00BC7532"/>
    <w:rsid w:val="00BC77E1"/>
    <w:rsid w:val="00BC7CDB"/>
    <w:rsid w:val="00BC7F4A"/>
    <w:rsid w:val="00BD0132"/>
    <w:rsid w:val="00BD0B35"/>
    <w:rsid w:val="00BD0D89"/>
    <w:rsid w:val="00BD0D8A"/>
    <w:rsid w:val="00BD11B2"/>
    <w:rsid w:val="00BD1460"/>
    <w:rsid w:val="00BD17D8"/>
    <w:rsid w:val="00BD194D"/>
    <w:rsid w:val="00BD1A45"/>
    <w:rsid w:val="00BD1B0C"/>
    <w:rsid w:val="00BD1BE3"/>
    <w:rsid w:val="00BD2170"/>
    <w:rsid w:val="00BD220B"/>
    <w:rsid w:val="00BD2253"/>
    <w:rsid w:val="00BD23D9"/>
    <w:rsid w:val="00BD24CB"/>
    <w:rsid w:val="00BD260E"/>
    <w:rsid w:val="00BD2E9F"/>
    <w:rsid w:val="00BD3081"/>
    <w:rsid w:val="00BD30CB"/>
    <w:rsid w:val="00BD3428"/>
    <w:rsid w:val="00BD3711"/>
    <w:rsid w:val="00BD3770"/>
    <w:rsid w:val="00BD3C7F"/>
    <w:rsid w:val="00BD3D0C"/>
    <w:rsid w:val="00BD4455"/>
    <w:rsid w:val="00BD4608"/>
    <w:rsid w:val="00BD470D"/>
    <w:rsid w:val="00BD4B14"/>
    <w:rsid w:val="00BD4DB1"/>
    <w:rsid w:val="00BD5177"/>
    <w:rsid w:val="00BD5252"/>
    <w:rsid w:val="00BD52E6"/>
    <w:rsid w:val="00BD603D"/>
    <w:rsid w:val="00BD604C"/>
    <w:rsid w:val="00BD628B"/>
    <w:rsid w:val="00BD628F"/>
    <w:rsid w:val="00BD65A9"/>
    <w:rsid w:val="00BD66A2"/>
    <w:rsid w:val="00BD67E5"/>
    <w:rsid w:val="00BD6CBF"/>
    <w:rsid w:val="00BD7123"/>
    <w:rsid w:val="00BD7578"/>
    <w:rsid w:val="00BD7659"/>
    <w:rsid w:val="00BD77CE"/>
    <w:rsid w:val="00BD7900"/>
    <w:rsid w:val="00BD7BE0"/>
    <w:rsid w:val="00BD7BF0"/>
    <w:rsid w:val="00BD7C0E"/>
    <w:rsid w:val="00BD7CE1"/>
    <w:rsid w:val="00BD7CF5"/>
    <w:rsid w:val="00BD7CFD"/>
    <w:rsid w:val="00BE0291"/>
    <w:rsid w:val="00BE0E27"/>
    <w:rsid w:val="00BE13C3"/>
    <w:rsid w:val="00BE14D7"/>
    <w:rsid w:val="00BE1524"/>
    <w:rsid w:val="00BE15EF"/>
    <w:rsid w:val="00BE2804"/>
    <w:rsid w:val="00BE2CEF"/>
    <w:rsid w:val="00BE333A"/>
    <w:rsid w:val="00BE3864"/>
    <w:rsid w:val="00BE38BD"/>
    <w:rsid w:val="00BE3C39"/>
    <w:rsid w:val="00BE3DC1"/>
    <w:rsid w:val="00BE45D1"/>
    <w:rsid w:val="00BE4727"/>
    <w:rsid w:val="00BE4729"/>
    <w:rsid w:val="00BE478F"/>
    <w:rsid w:val="00BE4814"/>
    <w:rsid w:val="00BE4817"/>
    <w:rsid w:val="00BE4979"/>
    <w:rsid w:val="00BE51A7"/>
    <w:rsid w:val="00BE52DC"/>
    <w:rsid w:val="00BE548B"/>
    <w:rsid w:val="00BE54CA"/>
    <w:rsid w:val="00BE561A"/>
    <w:rsid w:val="00BE5757"/>
    <w:rsid w:val="00BE5938"/>
    <w:rsid w:val="00BE5A78"/>
    <w:rsid w:val="00BE5C78"/>
    <w:rsid w:val="00BE5D4C"/>
    <w:rsid w:val="00BE5F91"/>
    <w:rsid w:val="00BE6124"/>
    <w:rsid w:val="00BE61B3"/>
    <w:rsid w:val="00BE66F0"/>
    <w:rsid w:val="00BE67EB"/>
    <w:rsid w:val="00BE68FA"/>
    <w:rsid w:val="00BE69F5"/>
    <w:rsid w:val="00BE6A90"/>
    <w:rsid w:val="00BE6BA3"/>
    <w:rsid w:val="00BE722B"/>
    <w:rsid w:val="00BE7B94"/>
    <w:rsid w:val="00BE7D63"/>
    <w:rsid w:val="00BE7F47"/>
    <w:rsid w:val="00BF011D"/>
    <w:rsid w:val="00BF0361"/>
    <w:rsid w:val="00BF0413"/>
    <w:rsid w:val="00BF0591"/>
    <w:rsid w:val="00BF0C86"/>
    <w:rsid w:val="00BF0CB7"/>
    <w:rsid w:val="00BF0D0A"/>
    <w:rsid w:val="00BF12B9"/>
    <w:rsid w:val="00BF15CC"/>
    <w:rsid w:val="00BF16CC"/>
    <w:rsid w:val="00BF16E5"/>
    <w:rsid w:val="00BF18DE"/>
    <w:rsid w:val="00BF1D87"/>
    <w:rsid w:val="00BF1ED8"/>
    <w:rsid w:val="00BF205A"/>
    <w:rsid w:val="00BF209F"/>
    <w:rsid w:val="00BF22C3"/>
    <w:rsid w:val="00BF2471"/>
    <w:rsid w:val="00BF2728"/>
    <w:rsid w:val="00BF272D"/>
    <w:rsid w:val="00BF281F"/>
    <w:rsid w:val="00BF294B"/>
    <w:rsid w:val="00BF298F"/>
    <w:rsid w:val="00BF2B41"/>
    <w:rsid w:val="00BF2D38"/>
    <w:rsid w:val="00BF2DF0"/>
    <w:rsid w:val="00BF3212"/>
    <w:rsid w:val="00BF339F"/>
    <w:rsid w:val="00BF37B7"/>
    <w:rsid w:val="00BF380C"/>
    <w:rsid w:val="00BF38B8"/>
    <w:rsid w:val="00BF3A90"/>
    <w:rsid w:val="00BF3ECA"/>
    <w:rsid w:val="00BF400D"/>
    <w:rsid w:val="00BF42CC"/>
    <w:rsid w:val="00BF4517"/>
    <w:rsid w:val="00BF47B6"/>
    <w:rsid w:val="00BF48AE"/>
    <w:rsid w:val="00BF4BDA"/>
    <w:rsid w:val="00BF4DB3"/>
    <w:rsid w:val="00BF51AB"/>
    <w:rsid w:val="00BF52AA"/>
    <w:rsid w:val="00BF535B"/>
    <w:rsid w:val="00BF53B1"/>
    <w:rsid w:val="00BF5797"/>
    <w:rsid w:val="00BF5964"/>
    <w:rsid w:val="00BF5F10"/>
    <w:rsid w:val="00BF611E"/>
    <w:rsid w:val="00BF613C"/>
    <w:rsid w:val="00BF653A"/>
    <w:rsid w:val="00BF6B7F"/>
    <w:rsid w:val="00BF70A6"/>
    <w:rsid w:val="00BF7218"/>
    <w:rsid w:val="00BF7B4F"/>
    <w:rsid w:val="00C00494"/>
    <w:rsid w:val="00C007E0"/>
    <w:rsid w:val="00C007F2"/>
    <w:rsid w:val="00C0089E"/>
    <w:rsid w:val="00C00DBF"/>
    <w:rsid w:val="00C01051"/>
    <w:rsid w:val="00C011B7"/>
    <w:rsid w:val="00C012A1"/>
    <w:rsid w:val="00C01588"/>
    <w:rsid w:val="00C016BC"/>
    <w:rsid w:val="00C01EC8"/>
    <w:rsid w:val="00C02174"/>
    <w:rsid w:val="00C0280D"/>
    <w:rsid w:val="00C0285D"/>
    <w:rsid w:val="00C029D5"/>
    <w:rsid w:val="00C02E0C"/>
    <w:rsid w:val="00C02EE2"/>
    <w:rsid w:val="00C031A3"/>
    <w:rsid w:val="00C03297"/>
    <w:rsid w:val="00C03742"/>
    <w:rsid w:val="00C03779"/>
    <w:rsid w:val="00C037A3"/>
    <w:rsid w:val="00C03ADF"/>
    <w:rsid w:val="00C03EAA"/>
    <w:rsid w:val="00C03F9F"/>
    <w:rsid w:val="00C04009"/>
    <w:rsid w:val="00C04089"/>
    <w:rsid w:val="00C040BA"/>
    <w:rsid w:val="00C042D8"/>
    <w:rsid w:val="00C0440E"/>
    <w:rsid w:val="00C04462"/>
    <w:rsid w:val="00C0484D"/>
    <w:rsid w:val="00C04886"/>
    <w:rsid w:val="00C049D9"/>
    <w:rsid w:val="00C04AE5"/>
    <w:rsid w:val="00C04B77"/>
    <w:rsid w:val="00C04E54"/>
    <w:rsid w:val="00C053BE"/>
    <w:rsid w:val="00C054F6"/>
    <w:rsid w:val="00C057E9"/>
    <w:rsid w:val="00C0588D"/>
    <w:rsid w:val="00C061FF"/>
    <w:rsid w:val="00C062B7"/>
    <w:rsid w:val="00C062CC"/>
    <w:rsid w:val="00C0632B"/>
    <w:rsid w:val="00C065B6"/>
    <w:rsid w:val="00C067B6"/>
    <w:rsid w:val="00C06B2C"/>
    <w:rsid w:val="00C0705D"/>
    <w:rsid w:val="00C0732D"/>
    <w:rsid w:val="00C07980"/>
    <w:rsid w:val="00C079C9"/>
    <w:rsid w:val="00C079F7"/>
    <w:rsid w:val="00C07A85"/>
    <w:rsid w:val="00C07B11"/>
    <w:rsid w:val="00C1019D"/>
    <w:rsid w:val="00C101F5"/>
    <w:rsid w:val="00C107DF"/>
    <w:rsid w:val="00C1084D"/>
    <w:rsid w:val="00C10DEF"/>
    <w:rsid w:val="00C117BE"/>
    <w:rsid w:val="00C126B6"/>
    <w:rsid w:val="00C129B6"/>
    <w:rsid w:val="00C12D81"/>
    <w:rsid w:val="00C12D84"/>
    <w:rsid w:val="00C12E00"/>
    <w:rsid w:val="00C12EAE"/>
    <w:rsid w:val="00C1301D"/>
    <w:rsid w:val="00C132ED"/>
    <w:rsid w:val="00C13486"/>
    <w:rsid w:val="00C13A38"/>
    <w:rsid w:val="00C13BBF"/>
    <w:rsid w:val="00C13BE5"/>
    <w:rsid w:val="00C13E24"/>
    <w:rsid w:val="00C142B6"/>
    <w:rsid w:val="00C14306"/>
    <w:rsid w:val="00C143AE"/>
    <w:rsid w:val="00C14CAB"/>
    <w:rsid w:val="00C14FB2"/>
    <w:rsid w:val="00C1563B"/>
    <w:rsid w:val="00C15AA3"/>
    <w:rsid w:val="00C15AF6"/>
    <w:rsid w:val="00C15B3E"/>
    <w:rsid w:val="00C15EB0"/>
    <w:rsid w:val="00C15F1D"/>
    <w:rsid w:val="00C160C3"/>
    <w:rsid w:val="00C16156"/>
    <w:rsid w:val="00C163A8"/>
    <w:rsid w:val="00C16720"/>
    <w:rsid w:val="00C16B50"/>
    <w:rsid w:val="00C16F95"/>
    <w:rsid w:val="00C172C3"/>
    <w:rsid w:val="00C17311"/>
    <w:rsid w:val="00C173BD"/>
    <w:rsid w:val="00C17596"/>
    <w:rsid w:val="00C17A7E"/>
    <w:rsid w:val="00C17F55"/>
    <w:rsid w:val="00C20045"/>
    <w:rsid w:val="00C204CF"/>
    <w:rsid w:val="00C206A9"/>
    <w:rsid w:val="00C20AC3"/>
    <w:rsid w:val="00C20B7F"/>
    <w:rsid w:val="00C20EE8"/>
    <w:rsid w:val="00C20F60"/>
    <w:rsid w:val="00C2105A"/>
    <w:rsid w:val="00C21185"/>
    <w:rsid w:val="00C21222"/>
    <w:rsid w:val="00C2131D"/>
    <w:rsid w:val="00C214D0"/>
    <w:rsid w:val="00C21817"/>
    <w:rsid w:val="00C21865"/>
    <w:rsid w:val="00C21A77"/>
    <w:rsid w:val="00C21C7C"/>
    <w:rsid w:val="00C22122"/>
    <w:rsid w:val="00C22130"/>
    <w:rsid w:val="00C22368"/>
    <w:rsid w:val="00C224EE"/>
    <w:rsid w:val="00C22D21"/>
    <w:rsid w:val="00C22E03"/>
    <w:rsid w:val="00C2328F"/>
    <w:rsid w:val="00C23734"/>
    <w:rsid w:val="00C23A7C"/>
    <w:rsid w:val="00C23E6E"/>
    <w:rsid w:val="00C244C9"/>
    <w:rsid w:val="00C244E0"/>
    <w:rsid w:val="00C24667"/>
    <w:rsid w:val="00C24BD9"/>
    <w:rsid w:val="00C24D1A"/>
    <w:rsid w:val="00C24DEA"/>
    <w:rsid w:val="00C252C7"/>
    <w:rsid w:val="00C25517"/>
    <w:rsid w:val="00C25701"/>
    <w:rsid w:val="00C259D5"/>
    <w:rsid w:val="00C259E6"/>
    <w:rsid w:val="00C25A23"/>
    <w:rsid w:val="00C25F4A"/>
    <w:rsid w:val="00C26102"/>
    <w:rsid w:val="00C26576"/>
    <w:rsid w:val="00C26A6E"/>
    <w:rsid w:val="00C26B93"/>
    <w:rsid w:val="00C26C61"/>
    <w:rsid w:val="00C27440"/>
    <w:rsid w:val="00C2744C"/>
    <w:rsid w:val="00C27766"/>
    <w:rsid w:val="00C27BC1"/>
    <w:rsid w:val="00C27D7B"/>
    <w:rsid w:val="00C27FDE"/>
    <w:rsid w:val="00C3004C"/>
    <w:rsid w:val="00C30246"/>
    <w:rsid w:val="00C30614"/>
    <w:rsid w:val="00C30734"/>
    <w:rsid w:val="00C30763"/>
    <w:rsid w:val="00C307FF"/>
    <w:rsid w:val="00C30846"/>
    <w:rsid w:val="00C30849"/>
    <w:rsid w:val="00C30ECA"/>
    <w:rsid w:val="00C31015"/>
    <w:rsid w:val="00C311D4"/>
    <w:rsid w:val="00C3126F"/>
    <w:rsid w:val="00C31409"/>
    <w:rsid w:val="00C31953"/>
    <w:rsid w:val="00C31B95"/>
    <w:rsid w:val="00C31C91"/>
    <w:rsid w:val="00C31CA2"/>
    <w:rsid w:val="00C31CE3"/>
    <w:rsid w:val="00C31DAF"/>
    <w:rsid w:val="00C321B3"/>
    <w:rsid w:val="00C3265A"/>
    <w:rsid w:val="00C329C7"/>
    <w:rsid w:val="00C32B16"/>
    <w:rsid w:val="00C32F10"/>
    <w:rsid w:val="00C3370B"/>
    <w:rsid w:val="00C3384E"/>
    <w:rsid w:val="00C339EC"/>
    <w:rsid w:val="00C344F0"/>
    <w:rsid w:val="00C34632"/>
    <w:rsid w:val="00C3466F"/>
    <w:rsid w:val="00C34798"/>
    <w:rsid w:val="00C34A5C"/>
    <w:rsid w:val="00C34B91"/>
    <w:rsid w:val="00C34E7E"/>
    <w:rsid w:val="00C3510F"/>
    <w:rsid w:val="00C3540B"/>
    <w:rsid w:val="00C354B2"/>
    <w:rsid w:val="00C35693"/>
    <w:rsid w:val="00C35964"/>
    <w:rsid w:val="00C35CFA"/>
    <w:rsid w:val="00C35E42"/>
    <w:rsid w:val="00C35E90"/>
    <w:rsid w:val="00C36175"/>
    <w:rsid w:val="00C36177"/>
    <w:rsid w:val="00C361C6"/>
    <w:rsid w:val="00C3625E"/>
    <w:rsid w:val="00C36547"/>
    <w:rsid w:val="00C366CB"/>
    <w:rsid w:val="00C367A9"/>
    <w:rsid w:val="00C36F22"/>
    <w:rsid w:val="00C37371"/>
    <w:rsid w:val="00C37412"/>
    <w:rsid w:val="00C379D3"/>
    <w:rsid w:val="00C37CA5"/>
    <w:rsid w:val="00C400A2"/>
    <w:rsid w:val="00C402EA"/>
    <w:rsid w:val="00C4040C"/>
    <w:rsid w:val="00C404B6"/>
    <w:rsid w:val="00C407B9"/>
    <w:rsid w:val="00C40D11"/>
    <w:rsid w:val="00C40F8E"/>
    <w:rsid w:val="00C41171"/>
    <w:rsid w:val="00C41310"/>
    <w:rsid w:val="00C415D1"/>
    <w:rsid w:val="00C4164B"/>
    <w:rsid w:val="00C417F7"/>
    <w:rsid w:val="00C421E8"/>
    <w:rsid w:val="00C4226D"/>
    <w:rsid w:val="00C4252E"/>
    <w:rsid w:val="00C4263D"/>
    <w:rsid w:val="00C42733"/>
    <w:rsid w:val="00C4292C"/>
    <w:rsid w:val="00C429E1"/>
    <w:rsid w:val="00C435AB"/>
    <w:rsid w:val="00C43658"/>
    <w:rsid w:val="00C43910"/>
    <w:rsid w:val="00C43A4D"/>
    <w:rsid w:val="00C43F11"/>
    <w:rsid w:val="00C43F50"/>
    <w:rsid w:val="00C44006"/>
    <w:rsid w:val="00C44135"/>
    <w:rsid w:val="00C44273"/>
    <w:rsid w:val="00C448F4"/>
    <w:rsid w:val="00C449AB"/>
    <w:rsid w:val="00C44B29"/>
    <w:rsid w:val="00C44B7B"/>
    <w:rsid w:val="00C45091"/>
    <w:rsid w:val="00C4590D"/>
    <w:rsid w:val="00C45A6A"/>
    <w:rsid w:val="00C45AE1"/>
    <w:rsid w:val="00C45C9F"/>
    <w:rsid w:val="00C45E8F"/>
    <w:rsid w:val="00C45F0C"/>
    <w:rsid w:val="00C45FA9"/>
    <w:rsid w:val="00C45FDC"/>
    <w:rsid w:val="00C465B0"/>
    <w:rsid w:val="00C46871"/>
    <w:rsid w:val="00C47139"/>
    <w:rsid w:val="00C47167"/>
    <w:rsid w:val="00C476B3"/>
    <w:rsid w:val="00C47C80"/>
    <w:rsid w:val="00C47C98"/>
    <w:rsid w:val="00C47F14"/>
    <w:rsid w:val="00C503C3"/>
    <w:rsid w:val="00C504A2"/>
    <w:rsid w:val="00C504A4"/>
    <w:rsid w:val="00C5057A"/>
    <w:rsid w:val="00C50815"/>
    <w:rsid w:val="00C511C8"/>
    <w:rsid w:val="00C51231"/>
    <w:rsid w:val="00C513E0"/>
    <w:rsid w:val="00C5157A"/>
    <w:rsid w:val="00C516CC"/>
    <w:rsid w:val="00C516E6"/>
    <w:rsid w:val="00C51852"/>
    <w:rsid w:val="00C51B6B"/>
    <w:rsid w:val="00C51EE3"/>
    <w:rsid w:val="00C52172"/>
    <w:rsid w:val="00C52346"/>
    <w:rsid w:val="00C52401"/>
    <w:rsid w:val="00C525A0"/>
    <w:rsid w:val="00C538D6"/>
    <w:rsid w:val="00C53A2C"/>
    <w:rsid w:val="00C53EDE"/>
    <w:rsid w:val="00C53FD6"/>
    <w:rsid w:val="00C542ED"/>
    <w:rsid w:val="00C54719"/>
    <w:rsid w:val="00C54BE6"/>
    <w:rsid w:val="00C54BEA"/>
    <w:rsid w:val="00C54C1F"/>
    <w:rsid w:val="00C54F47"/>
    <w:rsid w:val="00C550AE"/>
    <w:rsid w:val="00C552C3"/>
    <w:rsid w:val="00C5539C"/>
    <w:rsid w:val="00C555A3"/>
    <w:rsid w:val="00C559EF"/>
    <w:rsid w:val="00C56202"/>
    <w:rsid w:val="00C562A6"/>
    <w:rsid w:val="00C5633C"/>
    <w:rsid w:val="00C5684C"/>
    <w:rsid w:val="00C56A5C"/>
    <w:rsid w:val="00C56C8F"/>
    <w:rsid w:val="00C56CCB"/>
    <w:rsid w:val="00C56F4F"/>
    <w:rsid w:val="00C57889"/>
    <w:rsid w:val="00C57891"/>
    <w:rsid w:val="00C578DB"/>
    <w:rsid w:val="00C57903"/>
    <w:rsid w:val="00C579DB"/>
    <w:rsid w:val="00C579E0"/>
    <w:rsid w:val="00C57DED"/>
    <w:rsid w:val="00C6040E"/>
    <w:rsid w:val="00C6042F"/>
    <w:rsid w:val="00C60479"/>
    <w:rsid w:val="00C60520"/>
    <w:rsid w:val="00C60F72"/>
    <w:rsid w:val="00C61071"/>
    <w:rsid w:val="00C61901"/>
    <w:rsid w:val="00C619C4"/>
    <w:rsid w:val="00C61A4C"/>
    <w:rsid w:val="00C61D95"/>
    <w:rsid w:val="00C61EDE"/>
    <w:rsid w:val="00C6200C"/>
    <w:rsid w:val="00C62024"/>
    <w:rsid w:val="00C628CE"/>
    <w:rsid w:val="00C62A19"/>
    <w:rsid w:val="00C62BF3"/>
    <w:rsid w:val="00C631C0"/>
    <w:rsid w:val="00C631F8"/>
    <w:rsid w:val="00C633AA"/>
    <w:rsid w:val="00C633F2"/>
    <w:rsid w:val="00C6348C"/>
    <w:rsid w:val="00C634A1"/>
    <w:rsid w:val="00C638AE"/>
    <w:rsid w:val="00C63C2C"/>
    <w:rsid w:val="00C63DFC"/>
    <w:rsid w:val="00C63E19"/>
    <w:rsid w:val="00C64080"/>
    <w:rsid w:val="00C64101"/>
    <w:rsid w:val="00C642AA"/>
    <w:rsid w:val="00C64554"/>
    <w:rsid w:val="00C64689"/>
    <w:rsid w:val="00C646E5"/>
    <w:rsid w:val="00C64A58"/>
    <w:rsid w:val="00C64E91"/>
    <w:rsid w:val="00C65366"/>
    <w:rsid w:val="00C65457"/>
    <w:rsid w:val="00C656DF"/>
    <w:rsid w:val="00C658AB"/>
    <w:rsid w:val="00C658CB"/>
    <w:rsid w:val="00C660F4"/>
    <w:rsid w:val="00C6615E"/>
    <w:rsid w:val="00C663BF"/>
    <w:rsid w:val="00C6678F"/>
    <w:rsid w:val="00C66807"/>
    <w:rsid w:val="00C66893"/>
    <w:rsid w:val="00C66941"/>
    <w:rsid w:val="00C66C29"/>
    <w:rsid w:val="00C66CC6"/>
    <w:rsid w:val="00C66F89"/>
    <w:rsid w:val="00C67020"/>
    <w:rsid w:val="00C67493"/>
    <w:rsid w:val="00C67EFD"/>
    <w:rsid w:val="00C702F8"/>
    <w:rsid w:val="00C7087D"/>
    <w:rsid w:val="00C70AE9"/>
    <w:rsid w:val="00C70B67"/>
    <w:rsid w:val="00C710F9"/>
    <w:rsid w:val="00C71118"/>
    <w:rsid w:val="00C71131"/>
    <w:rsid w:val="00C714DF"/>
    <w:rsid w:val="00C71631"/>
    <w:rsid w:val="00C71906"/>
    <w:rsid w:val="00C71907"/>
    <w:rsid w:val="00C71ACC"/>
    <w:rsid w:val="00C7204A"/>
    <w:rsid w:val="00C7223D"/>
    <w:rsid w:val="00C724E8"/>
    <w:rsid w:val="00C727DD"/>
    <w:rsid w:val="00C72D24"/>
    <w:rsid w:val="00C7301F"/>
    <w:rsid w:val="00C7308F"/>
    <w:rsid w:val="00C73957"/>
    <w:rsid w:val="00C73C53"/>
    <w:rsid w:val="00C73C69"/>
    <w:rsid w:val="00C74233"/>
    <w:rsid w:val="00C74416"/>
    <w:rsid w:val="00C744ED"/>
    <w:rsid w:val="00C7522B"/>
    <w:rsid w:val="00C75487"/>
    <w:rsid w:val="00C7550E"/>
    <w:rsid w:val="00C7564B"/>
    <w:rsid w:val="00C75663"/>
    <w:rsid w:val="00C756BD"/>
    <w:rsid w:val="00C757EA"/>
    <w:rsid w:val="00C75861"/>
    <w:rsid w:val="00C75A33"/>
    <w:rsid w:val="00C75F42"/>
    <w:rsid w:val="00C75FC0"/>
    <w:rsid w:val="00C76184"/>
    <w:rsid w:val="00C762B1"/>
    <w:rsid w:val="00C7647C"/>
    <w:rsid w:val="00C765FC"/>
    <w:rsid w:val="00C76D3C"/>
    <w:rsid w:val="00C76F2E"/>
    <w:rsid w:val="00C770E3"/>
    <w:rsid w:val="00C77159"/>
    <w:rsid w:val="00C7727C"/>
    <w:rsid w:val="00C77CA7"/>
    <w:rsid w:val="00C77F58"/>
    <w:rsid w:val="00C80207"/>
    <w:rsid w:val="00C805D2"/>
    <w:rsid w:val="00C80946"/>
    <w:rsid w:val="00C80B87"/>
    <w:rsid w:val="00C80BF5"/>
    <w:rsid w:val="00C80C16"/>
    <w:rsid w:val="00C80EE4"/>
    <w:rsid w:val="00C811BC"/>
    <w:rsid w:val="00C81439"/>
    <w:rsid w:val="00C81685"/>
    <w:rsid w:val="00C816E3"/>
    <w:rsid w:val="00C819B6"/>
    <w:rsid w:val="00C81B12"/>
    <w:rsid w:val="00C81BEB"/>
    <w:rsid w:val="00C81D30"/>
    <w:rsid w:val="00C82264"/>
    <w:rsid w:val="00C82753"/>
    <w:rsid w:val="00C827CF"/>
    <w:rsid w:val="00C828C5"/>
    <w:rsid w:val="00C82EAA"/>
    <w:rsid w:val="00C82F71"/>
    <w:rsid w:val="00C8323A"/>
    <w:rsid w:val="00C83310"/>
    <w:rsid w:val="00C8357F"/>
    <w:rsid w:val="00C837BF"/>
    <w:rsid w:val="00C83865"/>
    <w:rsid w:val="00C83E5E"/>
    <w:rsid w:val="00C84191"/>
    <w:rsid w:val="00C84604"/>
    <w:rsid w:val="00C8552C"/>
    <w:rsid w:val="00C855E9"/>
    <w:rsid w:val="00C856C4"/>
    <w:rsid w:val="00C856DD"/>
    <w:rsid w:val="00C85A1F"/>
    <w:rsid w:val="00C85EC0"/>
    <w:rsid w:val="00C85EF1"/>
    <w:rsid w:val="00C8654C"/>
    <w:rsid w:val="00C867A6"/>
    <w:rsid w:val="00C86893"/>
    <w:rsid w:val="00C86E36"/>
    <w:rsid w:val="00C90955"/>
    <w:rsid w:val="00C909C9"/>
    <w:rsid w:val="00C90D27"/>
    <w:rsid w:val="00C91387"/>
    <w:rsid w:val="00C913AC"/>
    <w:rsid w:val="00C91A1D"/>
    <w:rsid w:val="00C91B6F"/>
    <w:rsid w:val="00C91C0C"/>
    <w:rsid w:val="00C91F34"/>
    <w:rsid w:val="00C91F4F"/>
    <w:rsid w:val="00C92255"/>
    <w:rsid w:val="00C92723"/>
    <w:rsid w:val="00C9289A"/>
    <w:rsid w:val="00C92DEF"/>
    <w:rsid w:val="00C934B4"/>
    <w:rsid w:val="00C93782"/>
    <w:rsid w:val="00C93A2E"/>
    <w:rsid w:val="00C93C91"/>
    <w:rsid w:val="00C93F66"/>
    <w:rsid w:val="00C9401C"/>
    <w:rsid w:val="00C94215"/>
    <w:rsid w:val="00C94694"/>
    <w:rsid w:val="00C94781"/>
    <w:rsid w:val="00C94AF8"/>
    <w:rsid w:val="00C94DB9"/>
    <w:rsid w:val="00C951A8"/>
    <w:rsid w:val="00C95747"/>
    <w:rsid w:val="00C957F7"/>
    <w:rsid w:val="00C95B27"/>
    <w:rsid w:val="00C96004"/>
    <w:rsid w:val="00C96176"/>
    <w:rsid w:val="00C96937"/>
    <w:rsid w:val="00C969B9"/>
    <w:rsid w:val="00C96EA6"/>
    <w:rsid w:val="00C9706B"/>
    <w:rsid w:val="00C97426"/>
    <w:rsid w:val="00C976BE"/>
    <w:rsid w:val="00C97B55"/>
    <w:rsid w:val="00C97C68"/>
    <w:rsid w:val="00CA0536"/>
    <w:rsid w:val="00CA0724"/>
    <w:rsid w:val="00CA0772"/>
    <w:rsid w:val="00CA0DD3"/>
    <w:rsid w:val="00CA0E71"/>
    <w:rsid w:val="00CA0F79"/>
    <w:rsid w:val="00CA0FD4"/>
    <w:rsid w:val="00CA141C"/>
    <w:rsid w:val="00CA1BE7"/>
    <w:rsid w:val="00CA1FE0"/>
    <w:rsid w:val="00CA21D4"/>
    <w:rsid w:val="00CA2256"/>
    <w:rsid w:val="00CA2430"/>
    <w:rsid w:val="00CA2541"/>
    <w:rsid w:val="00CA272C"/>
    <w:rsid w:val="00CA2EE2"/>
    <w:rsid w:val="00CA30BE"/>
    <w:rsid w:val="00CA38AB"/>
    <w:rsid w:val="00CA4380"/>
    <w:rsid w:val="00CA43C5"/>
    <w:rsid w:val="00CA43CA"/>
    <w:rsid w:val="00CA4488"/>
    <w:rsid w:val="00CA46D4"/>
    <w:rsid w:val="00CA47D9"/>
    <w:rsid w:val="00CA4883"/>
    <w:rsid w:val="00CA4C35"/>
    <w:rsid w:val="00CA4CA6"/>
    <w:rsid w:val="00CA4DB0"/>
    <w:rsid w:val="00CA4DC7"/>
    <w:rsid w:val="00CA4E1C"/>
    <w:rsid w:val="00CA4FC2"/>
    <w:rsid w:val="00CA531A"/>
    <w:rsid w:val="00CA54D4"/>
    <w:rsid w:val="00CA5558"/>
    <w:rsid w:val="00CA56B0"/>
    <w:rsid w:val="00CA6066"/>
    <w:rsid w:val="00CA6118"/>
    <w:rsid w:val="00CA624E"/>
    <w:rsid w:val="00CA634D"/>
    <w:rsid w:val="00CA63C1"/>
    <w:rsid w:val="00CA6424"/>
    <w:rsid w:val="00CA656B"/>
    <w:rsid w:val="00CA657A"/>
    <w:rsid w:val="00CA658E"/>
    <w:rsid w:val="00CA69D8"/>
    <w:rsid w:val="00CA6E2A"/>
    <w:rsid w:val="00CA707A"/>
    <w:rsid w:val="00CA7395"/>
    <w:rsid w:val="00CA7406"/>
    <w:rsid w:val="00CA7529"/>
    <w:rsid w:val="00CA752A"/>
    <w:rsid w:val="00CA7636"/>
    <w:rsid w:val="00CA782E"/>
    <w:rsid w:val="00CA7ADE"/>
    <w:rsid w:val="00CA7AEF"/>
    <w:rsid w:val="00CA7D04"/>
    <w:rsid w:val="00CA7E08"/>
    <w:rsid w:val="00CB001B"/>
    <w:rsid w:val="00CB019E"/>
    <w:rsid w:val="00CB0613"/>
    <w:rsid w:val="00CB064E"/>
    <w:rsid w:val="00CB071C"/>
    <w:rsid w:val="00CB0D34"/>
    <w:rsid w:val="00CB0E4E"/>
    <w:rsid w:val="00CB0F05"/>
    <w:rsid w:val="00CB0FD6"/>
    <w:rsid w:val="00CB10E3"/>
    <w:rsid w:val="00CB10EE"/>
    <w:rsid w:val="00CB1124"/>
    <w:rsid w:val="00CB16E3"/>
    <w:rsid w:val="00CB18E5"/>
    <w:rsid w:val="00CB1A3A"/>
    <w:rsid w:val="00CB1A3F"/>
    <w:rsid w:val="00CB1ADB"/>
    <w:rsid w:val="00CB1E2D"/>
    <w:rsid w:val="00CB2311"/>
    <w:rsid w:val="00CB2625"/>
    <w:rsid w:val="00CB2C37"/>
    <w:rsid w:val="00CB312B"/>
    <w:rsid w:val="00CB3A3F"/>
    <w:rsid w:val="00CB3B7B"/>
    <w:rsid w:val="00CB4068"/>
    <w:rsid w:val="00CB40DB"/>
    <w:rsid w:val="00CB41FF"/>
    <w:rsid w:val="00CB4275"/>
    <w:rsid w:val="00CB42C8"/>
    <w:rsid w:val="00CB42D0"/>
    <w:rsid w:val="00CB46A3"/>
    <w:rsid w:val="00CB4778"/>
    <w:rsid w:val="00CB53AC"/>
    <w:rsid w:val="00CB56AB"/>
    <w:rsid w:val="00CB57B1"/>
    <w:rsid w:val="00CB58F6"/>
    <w:rsid w:val="00CB5B7F"/>
    <w:rsid w:val="00CB5C4D"/>
    <w:rsid w:val="00CB5DF9"/>
    <w:rsid w:val="00CB5EE7"/>
    <w:rsid w:val="00CB66A6"/>
    <w:rsid w:val="00CB6B46"/>
    <w:rsid w:val="00CB7095"/>
    <w:rsid w:val="00CB7662"/>
    <w:rsid w:val="00CB795E"/>
    <w:rsid w:val="00CB7B6B"/>
    <w:rsid w:val="00CB7C99"/>
    <w:rsid w:val="00CB7F96"/>
    <w:rsid w:val="00CB7FBC"/>
    <w:rsid w:val="00CC0063"/>
    <w:rsid w:val="00CC00CF"/>
    <w:rsid w:val="00CC01DC"/>
    <w:rsid w:val="00CC0735"/>
    <w:rsid w:val="00CC0CC7"/>
    <w:rsid w:val="00CC1433"/>
    <w:rsid w:val="00CC1E9E"/>
    <w:rsid w:val="00CC212F"/>
    <w:rsid w:val="00CC248B"/>
    <w:rsid w:val="00CC25FF"/>
    <w:rsid w:val="00CC2827"/>
    <w:rsid w:val="00CC295D"/>
    <w:rsid w:val="00CC2CC2"/>
    <w:rsid w:val="00CC30E1"/>
    <w:rsid w:val="00CC310C"/>
    <w:rsid w:val="00CC34CB"/>
    <w:rsid w:val="00CC3B08"/>
    <w:rsid w:val="00CC3E48"/>
    <w:rsid w:val="00CC3F96"/>
    <w:rsid w:val="00CC3FB5"/>
    <w:rsid w:val="00CC3FE9"/>
    <w:rsid w:val="00CC411C"/>
    <w:rsid w:val="00CC445E"/>
    <w:rsid w:val="00CC4658"/>
    <w:rsid w:val="00CC4709"/>
    <w:rsid w:val="00CC48A9"/>
    <w:rsid w:val="00CC4A93"/>
    <w:rsid w:val="00CC4CEC"/>
    <w:rsid w:val="00CC4DAA"/>
    <w:rsid w:val="00CC53AE"/>
    <w:rsid w:val="00CC569B"/>
    <w:rsid w:val="00CC5904"/>
    <w:rsid w:val="00CC5A5C"/>
    <w:rsid w:val="00CC5DBB"/>
    <w:rsid w:val="00CC5F26"/>
    <w:rsid w:val="00CC601C"/>
    <w:rsid w:val="00CC616F"/>
    <w:rsid w:val="00CC61CB"/>
    <w:rsid w:val="00CC61E2"/>
    <w:rsid w:val="00CC6249"/>
    <w:rsid w:val="00CC633E"/>
    <w:rsid w:val="00CC650D"/>
    <w:rsid w:val="00CC6924"/>
    <w:rsid w:val="00CC6C2C"/>
    <w:rsid w:val="00CC6E68"/>
    <w:rsid w:val="00CC7342"/>
    <w:rsid w:val="00CC7822"/>
    <w:rsid w:val="00CC7BA6"/>
    <w:rsid w:val="00CC7FEA"/>
    <w:rsid w:val="00CD0445"/>
    <w:rsid w:val="00CD060E"/>
    <w:rsid w:val="00CD06AA"/>
    <w:rsid w:val="00CD0854"/>
    <w:rsid w:val="00CD0983"/>
    <w:rsid w:val="00CD0AA2"/>
    <w:rsid w:val="00CD1052"/>
    <w:rsid w:val="00CD107C"/>
    <w:rsid w:val="00CD10D5"/>
    <w:rsid w:val="00CD110D"/>
    <w:rsid w:val="00CD1684"/>
    <w:rsid w:val="00CD1A9B"/>
    <w:rsid w:val="00CD2188"/>
    <w:rsid w:val="00CD2384"/>
    <w:rsid w:val="00CD23E3"/>
    <w:rsid w:val="00CD269E"/>
    <w:rsid w:val="00CD2A89"/>
    <w:rsid w:val="00CD2B81"/>
    <w:rsid w:val="00CD31B4"/>
    <w:rsid w:val="00CD33A8"/>
    <w:rsid w:val="00CD3507"/>
    <w:rsid w:val="00CD3848"/>
    <w:rsid w:val="00CD38C9"/>
    <w:rsid w:val="00CD394F"/>
    <w:rsid w:val="00CD3A07"/>
    <w:rsid w:val="00CD3DC0"/>
    <w:rsid w:val="00CD3F6C"/>
    <w:rsid w:val="00CD441D"/>
    <w:rsid w:val="00CD4447"/>
    <w:rsid w:val="00CD4625"/>
    <w:rsid w:val="00CD4819"/>
    <w:rsid w:val="00CD4831"/>
    <w:rsid w:val="00CD4D49"/>
    <w:rsid w:val="00CD50A8"/>
    <w:rsid w:val="00CD5150"/>
    <w:rsid w:val="00CD52AA"/>
    <w:rsid w:val="00CD5BD6"/>
    <w:rsid w:val="00CD5C40"/>
    <w:rsid w:val="00CD5CF7"/>
    <w:rsid w:val="00CD5E0A"/>
    <w:rsid w:val="00CD5E55"/>
    <w:rsid w:val="00CD6185"/>
    <w:rsid w:val="00CD6189"/>
    <w:rsid w:val="00CD61FD"/>
    <w:rsid w:val="00CD6510"/>
    <w:rsid w:val="00CD65F8"/>
    <w:rsid w:val="00CD666A"/>
    <w:rsid w:val="00CD69AD"/>
    <w:rsid w:val="00CD6AF0"/>
    <w:rsid w:val="00CD6F7E"/>
    <w:rsid w:val="00CD6F9C"/>
    <w:rsid w:val="00CD71C9"/>
    <w:rsid w:val="00CD74D1"/>
    <w:rsid w:val="00CD7987"/>
    <w:rsid w:val="00CD7D2F"/>
    <w:rsid w:val="00CE021F"/>
    <w:rsid w:val="00CE0534"/>
    <w:rsid w:val="00CE05F2"/>
    <w:rsid w:val="00CE0AE4"/>
    <w:rsid w:val="00CE0D51"/>
    <w:rsid w:val="00CE0F85"/>
    <w:rsid w:val="00CE1018"/>
    <w:rsid w:val="00CE1705"/>
    <w:rsid w:val="00CE1748"/>
    <w:rsid w:val="00CE1B94"/>
    <w:rsid w:val="00CE1BA7"/>
    <w:rsid w:val="00CE21AB"/>
    <w:rsid w:val="00CE21FE"/>
    <w:rsid w:val="00CE229B"/>
    <w:rsid w:val="00CE2462"/>
    <w:rsid w:val="00CE24FA"/>
    <w:rsid w:val="00CE2539"/>
    <w:rsid w:val="00CE25F0"/>
    <w:rsid w:val="00CE279C"/>
    <w:rsid w:val="00CE289A"/>
    <w:rsid w:val="00CE2C97"/>
    <w:rsid w:val="00CE2E10"/>
    <w:rsid w:val="00CE2E71"/>
    <w:rsid w:val="00CE3199"/>
    <w:rsid w:val="00CE34DC"/>
    <w:rsid w:val="00CE3621"/>
    <w:rsid w:val="00CE41B1"/>
    <w:rsid w:val="00CE430A"/>
    <w:rsid w:val="00CE43F4"/>
    <w:rsid w:val="00CE4BC6"/>
    <w:rsid w:val="00CE4D0E"/>
    <w:rsid w:val="00CE4DCA"/>
    <w:rsid w:val="00CE5127"/>
    <w:rsid w:val="00CE56B0"/>
    <w:rsid w:val="00CE57AA"/>
    <w:rsid w:val="00CE5D29"/>
    <w:rsid w:val="00CE5EC5"/>
    <w:rsid w:val="00CE5F50"/>
    <w:rsid w:val="00CE5F66"/>
    <w:rsid w:val="00CE67C4"/>
    <w:rsid w:val="00CE6B19"/>
    <w:rsid w:val="00CE6F48"/>
    <w:rsid w:val="00CE7204"/>
    <w:rsid w:val="00CE7308"/>
    <w:rsid w:val="00CE737B"/>
    <w:rsid w:val="00CE7A51"/>
    <w:rsid w:val="00CE7C2E"/>
    <w:rsid w:val="00CE7EE5"/>
    <w:rsid w:val="00CF0124"/>
    <w:rsid w:val="00CF02C2"/>
    <w:rsid w:val="00CF0ED5"/>
    <w:rsid w:val="00CF15C3"/>
    <w:rsid w:val="00CF18C9"/>
    <w:rsid w:val="00CF1985"/>
    <w:rsid w:val="00CF1B22"/>
    <w:rsid w:val="00CF1C9C"/>
    <w:rsid w:val="00CF1F51"/>
    <w:rsid w:val="00CF2374"/>
    <w:rsid w:val="00CF2599"/>
    <w:rsid w:val="00CF2943"/>
    <w:rsid w:val="00CF29FC"/>
    <w:rsid w:val="00CF2A20"/>
    <w:rsid w:val="00CF2B78"/>
    <w:rsid w:val="00CF333D"/>
    <w:rsid w:val="00CF3ADF"/>
    <w:rsid w:val="00CF420D"/>
    <w:rsid w:val="00CF42ED"/>
    <w:rsid w:val="00CF45B4"/>
    <w:rsid w:val="00CF473B"/>
    <w:rsid w:val="00CF47E0"/>
    <w:rsid w:val="00CF4871"/>
    <w:rsid w:val="00CF4946"/>
    <w:rsid w:val="00CF4A73"/>
    <w:rsid w:val="00CF4AB5"/>
    <w:rsid w:val="00CF4CC3"/>
    <w:rsid w:val="00CF4EEB"/>
    <w:rsid w:val="00CF5316"/>
    <w:rsid w:val="00CF5371"/>
    <w:rsid w:val="00CF53B9"/>
    <w:rsid w:val="00CF5557"/>
    <w:rsid w:val="00CF583F"/>
    <w:rsid w:val="00CF5988"/>
    <w:rsid w:val="00CF5D61"/>
    <w:rsid w:val="00CF61A8"/>
    <w:rsid w:val="00CF64AF"/>
    <w:rsid w:val="00CF6596"/>
    <w:rsid w:val="00CF6782"/>
    <w:rsid w:val="00CF67BC"/>
    <w:rsid w:val="00CF6CCB"/>
    <w:rsid w:val="00CF6EC6"/>
    <w:rsid w:val="00CF70A9"/>
    <w:rsid w:val="00CF71EE"/>
    <w:rsid w:val="00CF7452"/>
    <w:rsid w:val="00CF758E"/>
    <w:rsid w:val="00CF763B"/>
    <w:rsid w:val="00CF7911"/>
    <w:rsid w:val="00CF7D90"/>
    <w:rsid w:val="00CF7EBD"/>
    <w:rsid w:val="00D00A71"/>
    <w:rsid w:val="00D0138A"/>
    <w:rsid w:val="00D01E99"/>
    <w:rsid w:val="00D02411"/>
    <w:rsid w:val="00D024FB"/>
    <w:rsid w:val="00D0276C"/>
    <w:rsid w:val="00D02A74"/>
    <w:rsid w:val="00D02BCE"/>
    <w:rsid w:val="00D02F36"/>
    <w:rsid w:val="00D02F73"/>
    <w:rsid w:val="00D0332B"/>
    <w:rsid w:val="00D034DA"/>
    <w:rsid w:val="00D03C49"/>
    <w:rsid w:val="00D03C5B"/>
    <w:rsid w:val="00D03DDA"/>
    <w:rsid w:val="00D040D8"/>
    <w:rsid w:val="00D0410E"/>
    <w:rsid w:val="00D0457E"/>
    <w:rsid w:val="00D04F2D"/>
    <w:rsid w:val="00D04FFF"/>
    <w:rsid w:val="00D0545F"/>
    <w:rsid w:val="00D05548"/>
    <w:rsid w:val="00D05717"/>
    <w:rsid w:val="00D0582D"/>
    <w:rsid w:val="00D058EB"/>
    <w:rsid w:val="00D05DFE"/>
    <w:rsid w:val="00D05DFF"/>
    <w:rsid w:val="00D05E82"/>
    <w:rsid w:val="00D060BB"/>
    <w:rsid w:val="00D06119"/>
    <w:rsid w:val="00D06478"/>
    <w:rsid w:val="00D06625"/>
    <w:rsid w:val="00D066AA"/>
    <w:rsid w:val="00D06797"/>
    <w:rsid w:val="00D068FE"/>
    <w:rsid w:val="00D06C35"/>
    <w:rsid w:val="00D06CC9"/>
    <w:rsid w:val="00D06F3F"/>
    <w:rsid w:val="00D0736C"/>
    <w:rsid w:val="00D0740D"/>
    <w:rsid w:val="00D07520"/>
    <w:rsid w:val="00D076AE"/>
    <w:rsid w:val="00D07A39"/>
    <w:rsid w:val="00D07B88"/>
    <w:rsid w:val="00D10147"/>
    <w:rsid w:val="00D10374"/>
    <w:rsid w:val="00D10473"/>
    <w:rsid w:val="00D1048F"/>
    <w:rsid w:val="00D10531"/>
    <w:rsid w:val="00D10631"/>
    <w:rsid w:val="00D107DE"/>
    <w:rsid w:val="00D10AA5"/>
    <w:rsid w:val="00D10D38"/>
    <w:rsid w:val="00D10FDE"/>
    <w:rsid w:val="00D1121E"/>
    <w:rsid w:val="00D114CB"/>
    <w:rsid w:val="00D11569"/>
    <w:rsid w:val="00D1173C"/>
    <w:rsid w:val="00D117C0"/>
    <w:rsid w:val="00D11A99"/>
    <w:rsid w:val="00D11D7E"/>
    <w:rsid w:val="00D11F4A"/>
    <w:rsid w:val="00D12392"/>
    <w:rsid w:val="00D126A4"/>
    <w:rsid w:val="00D128BB"/>
    <w:rsid w:val="00D1295E"/>
    <w:rsid w:val="00D12C38"/>
    <w:rsid w:val="00D12CA3"/>
    <w:rsid w:val="00D12F51"/>
    <w:rsid w:val="00D130A5"/>
    <w:rsid w:val="00D130BB"/>
    <w:rsid w:val="00D131E8"/>
    <w:rsid w:val="00D134CF"/>
    <w:rsid w:val="00D13766"/>
    <w:rsid w:val="00D13839"/>
    <w:rsid w:val="00D13858"/>
    <w:rsid w:val="00D13A73"/>
    <w:rsid w:val="00D13AAF"/>
    <w:rsid w:val="00D13AF7"/>
    <w:rsid w:val="00D13C4D"/>
    <w:rsid w:val="00D1456C"/>
    <w:rsid w:val="00D14735"/>
    <w:rsid w:val="00D147E7"/>
    <w:rsid w:val="00D1488B"/>
    <w:rsid w:val="00D14918"/>
    <w:rsid w:val="00D151F7"/>
    <w:rsid w:val="00D1530C"/>
    <w:rsid w:val="00D154C0"/>
    <w:rsid w:val="00D15549"/>
    <w:rsid w:val="00D155CF"/>
    <w:rsid w:val="00D16644"/>
    <w:rsid w:val="00D1696E"/>
    <w:rsid w:val="00D16A07"/>
    <w:rsid w:val="00D16BDC"/>
    <w:rsid w:val="00D17136"/>
    <w:rsid w:val="00D17175"/>
    <w:rsid w:val="00D17295"/>
    <w:rsid w:val="00D17ABE"/>
    <w:rsid w:val="00D20208"/>
    <w:rsid w:val="00D20230"/>
    <w:rsid w:val="00D20548"/>
    <w:rsid w:val="00D20552"/>
    <w:rsid w:val="00D20A2D"/>
    <w:rsid w:val="00D20E79"/>
    <w:rsid w:val="00D20E9D"/>
    <w:rsid w:val="00D2112A"/>
    <w:rsid w:val="00D216AD"/>
    <w:rsid w:val="00D21C1E"/>
    <w:rsid w:val="00D21FFB"/>
    <w:rsid w:val="00D220E2"/>
    <w:rsid w:val="00D2216F"/>
    <w:rsid w:val="00D222F9"/>
    <w:rsid w:val="00D226A0"/>
    <w:rsid w:val="00D226FE"/>
    <w:rsid w:val="00D2271A"/>
    <w:rsid w:val="00D22875"/>
    <w:rsid w:val="00D228CF"/>
    <w:rsid w:val="00D229DE"/>
    <w:rsid w:val="00D22A03"/>
    <w:rsid w:val="00D22B37"/>
    <w:rsid w:val="00D2360A"/>
    <w:rsid w:val="00D2441A"/>
    <w:rsid w:val="00D249D7"/>
    <w:rsid w:val="00D24E68"/>
    <w:rsid w:val="00D2507D"/>
    <w:rsid w:val="00D252FD"/>
    <w:rsid w:val="00D253D2"/>
    <w:rsid w:val="00D253FF"/>
    <w:rsid w:val="00D2540B"/>
    <w:rsid w:val="00D26050"/>
    <w:rsid w:val="00D2621F"/>
    <w:rsid w:val="00D263CB"/>
    <w:rsid w:val="00D26722"/>
    <w:rsid w:val="00D2674D"/>
    <w:rsid w:val="00D26B32"/>
    <w:rsid w:val="00D26D43"/>
    <w:rsid w:val="00D26F11"/>
    <w:rsid w:val="00D271E5"/>
    <w:rsid w:val="00D27D99"/>
    <w:rsid w:val="00D27EA4"/>
    <w:rsid w:val="00D30503"/>
    <w:rsid w:val="00D30777"/>
    <w:rsid w:val="00D30ADD"/>
    <w:rsid w:val="00D30B55"/>
    <w:rsid w:val="00D31118"/>
    <w:rsid w:val="00D311D1"/>
    <w:rsid w:val="00D313A0"/>
    <w:rsid w:val="00D315C1"/>
    <w:rsid w:val="00D319AA"/>
    <w:rsid w:val="00D319FC"/>
    <w:rsid w:val="00D31D0A"/>
    <w:rsid w:val="00D31FA1"/>
    <w:rsid w:val="00D3225C"/>
    <w:rsid w:val="00D32452"/>
    <w:rsid w:val="00D329F0"/>
    <w:rsid w:val="00D333C9"/>
    <w:rsid w:val="00D3344B"/>
    <w:rsid w:val="00D3367D"/>
    <w:rsid w:val="00D33963"/>
    <w:rsid w:val="00D33A0F"/>
    <w:rsid w:val="00D33ADF"/>
    <w:rsid w:val="00D33B69"/>
    <w:rsid w:val="00D33D46"/>
    <w:rsid w:val="00D33F8D"/>
    <w:rsid w:val="00D34047"/>
    <w:rsid w:val="00D345AA"/>
    <w:rsid w:val="00D34660"/>
    <w:rsid w:val="00D34D7E"/>
    <w:rsid w:val="00D34DD4"/>
    <w:rsid w:val="00D34F79"/>
    <w:rsid w:val="00D34FD4"/>
    <w:rsid w:val="00D350B4"/>
    <w:rsid w:val="00D3526F"/>
    <w:rsid w:val="00D3537C"/>
    <w:rsid w:val="00D35522"/>
    <w:rsid w:val="00D3558C"/>
    <w:rsid w:val="00D356C5"/>
    <w:rsid w:val="00D359DE"/>
    <w:rsid w:val="00D35ACA"/>
    <w:rsid w:val="00D360BA"/>
    <w:rsid w:val="00D36506"/>
    <w:rsid w:val="00D366DF"/>
    <w:rsid w:val="00D367C2"/>
    <w:rsid w:val="00D36805"/>
    <w:rsid w:val="00D36B88"/>
    <w:rsid w:val="00D3710B"/>
    <w:rsid w:val="00D37117"/>
    <w:rsid w:val="00D37120"/>
    <w:rsid w:val="00D3724F"/>
    <w:rsid w:val="00D37602"/>
    <w:rsid w:val="00D3762C"/>
    <w:rsid w:val="00D37967"/>
    <w:rsid w:val="00D37E73"/>
    <w:rsid w:val="00D40065"/>
    <w:rsid w:val="00D400E2"/>
    <w:rsid w:val="00D401A4"/>
    <w:rsid w:val="00D40201"/>
    <w:rsid w:val="00D40332"/>
    <w:rsid w:val="00D40488"/>
    <w:rsid w:val="00D40762"/>
    <w:rsid w:val="00D40819"/>
    <w:rsid w:val="00D40B1C"/>
    <w:rsid w:val="00D40E4B"/>
    <w:rsid w:val="00D41048"/>
    <w:rsid w:val="00D411FE"/>
    <w:rsid w:val="00D41430"/>
    <w:rsid w:val="00D415E0"/>
    <w:rsid w:val="00D41BEB"/>
    <w:rsid w:val="00D41C3A"/>
    <w:rsid w:val="00D4200A"/>
    <w:rsid w:val="00D42011"/>
    <w:rsid w:val="00D4209A"/>
    <w:rsid w:val="00D422AD"/>
    <w:rsid w:val="00D422FF"/>
    <w:rsid w:val="00D42615"/>
    <w:rsid w:val="00D42D6A"/>
    <w:rsid w:val="00D430CE"/>
    <w:rsid w:val="00D431E1"/>
    <w:rsid w:val="00D43217"/>
    <w:rsid w:val="00D436D3"/>
    <w:rsid w:val="00D438E1"/>
    <w:rsid w:val="00D439E1"/>
    <w:rsid w:val="00D43C2E"/>
    <w:rsid w:val="00D4423E"/>
    <w:rsid w:val="00D446BF"/>
    <w:rsid w:val="00D447E3"/>
    <w:rsid w:val="00D448E6"/>
    <w:rsid w:val="00D44AD4"/>
    <w:rsid w:val="00D45108"/>
    <w:rsid w:val="00D4515C"/>
    <w:rsid w:val="00D45285"/>
    <w:rsid w:val="00D454E5"/>
    <w:rsid w:val="00D45547"/>
    <w:rsid w:val="00D4576D"/>
    <w:rsid w:val="00D4583B"/>
    <w:rsid w:val="00D45953"/>
    <w:rsid w:val="00D45D0D"/>
    <w:rsid w:val="00D45EC5"/>
    <w:rsid w:val="00D45F6D"/>
    <w:rsid w:val="00D460A8"/>
    <w:rsid w:val="00D463FC"/>
    <w:rsid w:val="00D46412"/>
    <w:rsid w:val="00D4655C"/>
    <w:rsid w:val="00D46BE2"/>
    <w:rsid w:val="00D47131"/>
    <w:rsid w:val="00D47215"/>
    <w:rsid w:val="00D47227"/>
    <w:rsid w:val="00D472EB"/>
    <w:rsid w:val="00D47651"/>
    <w:rsid w:val="00D47680"/>
    <w:rsid w:val="00D47689"/>
    <w:rsid w:val="00D476C2"/>
    <w:rsid w:val="00D47D7E"/>
    <w:rsid w:val="00D5009D"/>
    <w:rsid w:val="00D5012A"/>
    <w:rsid w:val="00D50276"/>
    <w:rsid w:val="00D50471"/>
    <w:rsid w:val="00D504C2"/>
    <w:rsid w:val="00D5057A"/>
    <w:rsid w:val="00D50AB5"/>
    <w:rsid w:val="00D50B1F"/>
    <w:rsid w:val="00D50DAB"/>
    <w:rsid w:val="00D51000"/>
    <w:rsid w:val="00D5107D"/>
    <w:rsid w:val="00D51DBE"/>
    <w:rsid w:val="00D51E6F"/>
    <w:rsid w:val="00D524FA"/>
    <w:rsid w:val="00D5264B"/>
    <w:rsid w:val="00D52B7C"/>
    <w:rsid w:val="00D52E28"/>
    <w:rsid w:val="00D53348"/>
    <w:rsid w:val="00D5344C"/>
    <w:rsid w:val="00D534D3"/>
    <w:rsid w:val="00D5359A"/>
    <w:rsid w:val="00D53918"/>
    <w:rsid w:val="00D53A22"/>
    <w:rsid w:val="00D53EE9"/>
    <w:rsid w:val="00D53F07"/>
    <w:rsid w:val="00D540B1"/>
    <w:rsid w:val="00D541BE"/>
    <w:rsid w:val="00D542FD"/>
    <w:rsid w:val="00D54502"/>
    <w:rsid w:val="00D545B5"/>
    <w:rsid w:val="00D54737"/>
    <w:rsid w:val="00D547A3"/>
    <w:rsid w:val="00D54B93"/>
    <w:rsid w:val="00D54DE6"/>
    <w:rsid w:val="00D55058"/>
    <w:rsid w:val="00D5506B"/>
    <w:rsid w:val="00D552C2"/>
    <w:rsid w:val="00D559CC"/>
    <w:rsid w:val="00D55AD1"/>
    <w:rsid w:val="00D55B30"/>
    <w:rsid w:val="00D55B9B"/>
    <w:rsid w:val="00D55BDD"/>
    <w:rsid w:val="00D55FBF"/>
    <w:rsid w:val="00D560FB"/>
    <w:rsid w:val="00D56110"/>
    <w:rsid w:val="00D56468"/>
    <w:rsid w:val="00D5654C"/>
    <w:rsid w:val="00D565C0"/>
    <w:rsid w:val="00D56662"/>
    <w:rsid w:val="00D566EA"/>
    <w:rsid w:val="00D56A2C"/>
    <w:rsid w:val="00D570A4"/>
    <w:rsid w:val="00D5712B"/>
    <w:rsid w:val="00D572B9"/>
    <w:rsid w:val="00D577DD"/>
    <w:rsid w:val="00D5798A"/>
    <w:rsid w:val="00D579DF"/>
    <w:rsid w:val="00D57B45"/>
    <w:rsid w:val="00D57FEE"/>
    <w:rsid w:val="00D600C2"/>
    <w:rsid w:val="00D600CC"/>
    <w:rsid w:val="00D60239"/>
    <w:rsid w:val="00D602D5"/>
    <w:rsid w:val="00D603FF"/>
    <w:rsid w:val="00D60866"/>
    <w:rsid w:val="00D609FD"/>
    <w:rsid w:val="00D60A1D"/>
    <w:rsid w:val="00D60A6D"/>
    <w:rsid w:val="00D6127E"/>
    <w:rsid w:val="00D6129C"/>
    <w:rsid w:val="00D61856"/>
    <w:rsid w:val="00D61E0A"/>
    <w:rsid w:val="00D62356"/>
    <w:rsid w:val="00D6261C"/>
    <w:rsid w:val="00D6264F"/>
    <w:rsid w:val="00D626E1"/>
    <w:rsid w:val="00D627C7"/>
    <w:rsid w:val="00D62ADA"/>
    <w:rsid w:val="00D62C95"/>
    <w:rsid w:val="00D62D92"/>
    <w:rsid w:val="00D62DBB"/>
    <w:rsid w:val="00D630C3"/>
    <w:rsid w:val="00D63383"/>
    <w:rsid w:val="00D63414"/>
    <w:rsid w:val="00D634F1"/>
    <w:rsid w:val="00D6366F"/>
    <w:rsid w:val="00D6394E"/>
    <w:rsid w:val="00D6396E"/>
    <w:rsid w:val="00D63A4E"/>
    <w:rsid w:val="00D63B59"/>
    <w:rsid w:val="00D63C28"/>
    <w:rsid w:val="00D63C3F"/>
    <w:rsid w:val="00D63DCF"/>
    <w:rsid w:val="00D63F88"/>
    <w:rsid w:val="00D63FF3"/>
    <w:rsid w:val="00D6424E"/>
    <w:rsid w:val="00D643D9"/>
    <w:rsid w:val="00D644DD"/>
    <w:rsid w:val="00D644F4"/>
    <w:rsid w:val="00D64544"/>
    <w:rsid w:val="00D64853"/>
    <w:rsid w:val="00D64912"/>
    <w:rsid w:val="00D64EE0"/>
    <w:rsid w:val="00D650BC"/>
    <w:rsid w:val="00D655B1"/>
    <w:rsid w:val="00D656DE"/>
    <w:rsid w:val="00D65B91"/>
    <w:rsid w:val="00D662CE"/>
    <w:rsid w:val="00D665DD"/>
    <w:rsid w:val="00D66633"/>
    <w:rsid w:val="00D66733"/>
    <w:rsid w:val="00D667AC"/>
    <w:rsid w:val="00D667CC"/>
    <w:rsid w:val="00D66E01"/>
    <w:rsid w:val="00D67078"/>
    <w:rsid w:val="00D67273"/>
    <w:rsid w:val="00D672DD"/>
    <w:rsid w:val="00D672E7"/>
    <w:rsid w:val="00D674AE"/>
    <w:rsid w:val="00D67DB1"/>
    <w:rsid w:val="00D70058"/>
    <w:rsid w:val="00D700AA"/>
    <w:rsid w:val="00D703FE"/>
    <w:rsid w:val="00D705A6"/>
    <w:rsid w:val="00D705BD"/>
    <w:rsid w:val="00D70703"/>
    <w:rsid w:val="00D707DD"/>
    <w:rsid w:val="00D70B05"/>
    <w:rsid w:val="00D70B5B"/>
    <w:rsid w:val="00D7210D"/>
    <w:rsid w:val="00D726EE"/>
    <w:rsid w:val="00D72704"/>
    <w:rsid w:val="00D72B26"/>
    <w:rsid w:val="00D72E9F"/>
    <w:rsid w:val="00D72F6D"/>
    <w:rsid w:val="00D7310C"/>
    <w:rsid w:val="00D731B2"/>
    <w:rsid w:val="00D73592"/>
    <w:rsid w:val="00D73606"/>
    <w:rsid w:val="00D73677"/>
    <w:rsid w:val="00D736DA"/>
    <w:rsid w:val="00D739E9"/>
    <w:rsid w:val="00D73CFA"/>
    <w:rsid w:val="00D73F92"/>
    <w:rsid w:val="00D74062"/>
    <w:rsid w:val="00D740EA"/>
    <w:rsid w:val="00D74259"/>
    <w:rsid w:val="00D7430D"/>
    <w:rsid w:val="00D746C2"/>
    <w:rsid w:val="00D74B7C"/>
    <w:rsid w:val="00D74BED"/>
    <w:rsid w:val="00D74F41"/>
    <w:rsid w:val="00D75890"/>
    <w:rsid w:val="00D75A38"/>
    <w:rsid w:val="00D75C1F"/>
    <w:rsid w:val="00D75E03"/>
    <w:rsid w:val="00D75E09"/>
    <w:rsid w:val="00D75E85"/>
    <w:rsid w:val="00D75E8E"/>
    <w:rsid w:val="00D75F1F"/>
    <w:rsid w:val="00D7606B"/>
    <w:rsid w:val="00D76313"/>
    <w:rsid w:val="00D76624"/>
    <w:rsid w:val="00D76AC9"/>
    <w:rsid w:val="00D76C14"/>
    <w:rsid w:val="00D76CE8"/>
    <w:rsid w:val="00D76D26"/>
    <w:rsid w:val="00D76D3F"/>
    <w:rsid w:val="00D7738B"/>
    <w:rsid w:val="00D77521"/>
    <w:rsid w:val="00D778D8"/>
    <w:rsid w:val="00D77A60"/>
    <w:rsid w:val="00D77AA5"/>
    <w:rsid w:val="00D77C05"/>
    <w:rsid w:val="00D77CC3"/>
    <w:rsid w:val="00D80055"/>
    <w:rsid w:val="00D805FD"/>
    <w:rsid w:val="00D80837"/>
    <w:rsid w:val="00D8092E"/>
    <w:rsid w:val="00D80980"/>
    <w:rsid w:val="00D80F64"/>
    <w:rsid w:val="00D810EF"/>
    <w:rsid w:val="00D81221"/>
    <w:rsid w:val="00D81519"/>
    <w:rsid w:val="00D816A4"/>
    <w:rsid w:val="00D819AF"/>
    <w:rsid w:val="00D81C02"/>
    <w:rsid w:val="00D81C76"/>
    <w:rsid w:val="00D81FEB"/>
    <w:rsid w:val="00D82BC7"/>
    <w:rsid w:val="00D82C02"/>
    <w:rsid w:val="00D82D71"/>
    <w:rsid w:val="00D82DDD"/>
    <w:rsid w:val="00D82EA2"/>
    <w:rsid w:val="00D82F44"/>
    <w:rsid w:val="00D831D1"/>
    <w:rsid w:val="00D839E6"/>
    <w:rsid w:val="00D83B8E"/>
    <w:rsid w:val="00D83FD7"/>
    <w:rsid w:val="00D84139"/>
    <w:rsid w:val="00D84307"/>
    <w:rsid w:val="00D84346"/>
    <w:rsid w:val="00D8434E"/>
    <w:rsid w:val="00D84543"/>
    <w:rsid w:val="00D84867"/>
    <w:rsid w:val="00D848FD"/>
    <w:rsid w:val="00D84C0E"/>
    <w:rsid w:val="00D84E4A"/>
    <w:rsid w:val="00D84F8D"/>
    <w:rsid w:val="00D8507C"/>
    <w:rsid w:val="00D850AC"/>
    <w:rsid w:val="00D85314"/>
    <w:rsid w:val="00D8540D"/>
    <w:rsid w:val="00D855A9"/>
    <w:rsid w:val="00D85630"/>
    <w:rsid w:val="00D85A88"/>
    <w:rsid w:val="00D85D7C"/>
    <w:rsid w:val="00D85E87"/>
    <w:rsid w:val="00D863AE"/>
    <w:rsid w:val="00D86A1A"/>
    <w:rsid w:val="00D86C2A"/>
    <w:rsid w:val="00D86FA9"/>
    <w:rsid w:val="00D87215"/>
    <w:rsid w:val="00D87782"/>
    <w:rsid w:val="00D87849"/>
    <w:rsid w:val="00D8785C"/>
    <w:rsid w:val="00D87A88"/>
    <w:rsid w:val="00D87AA2"/>
    <w:rsid w:val="00D87B62"/>
    <w:rsid w:val="00D87EC7"/>
    <w:rsid w:val="00D90007"/>
    <w:rsid w:val="00D90425"/>
    <w:rsid w:val="00D9044D"/>
    <w:rsid w:val="00D90512"/>
    <w:rsid w:val="00D90E28"/>
    <w:rsid w:val="00D9103F"/>
    <w:rsid w:val="00D91057"/>
    <w:rsid w:val="00D91129"/>
    <w:rsid w:val="00D9222B"/>
    <w:rsid w:val="00D92289"/>
    <w:rsid w:val="00D924BB"/>
    <w:rsid w:val="00D9266C"/>
    <w:rsid w:val="00D927FE"/>
    <w:rsid w:val="00D92917"/>
    <w:rsid w:val="00D92CAF"/>
    <w:rsid w:val="00D92F46"/>
    <w:rsid w:val="00D936AE"/>
    <w:rsid w:val="00D9380C"/>
    <w:rsid w:val="00D93BBF"/>
    <w:rsid w:val="00D93BFF"/>
    <w:rsid w:val="00D93E55"/>
    <w:rsid w:val="00D9401C"/>
    <w:rsid w:val="00D9444A"/>
    <w:rsid w:val="00D948BC"/>
    <w:rsid w:val="00D94CF3"/>
    <w:rsid w:val="00D95259"/>
    <w:rsid w:val="00D95982"/>
    <w:rsid w:val="00D95BA3"/>
    <w:rsid w:val="00D95D7E"/>
    <w:rsid w:val="00D95F55"/>
    <w:rsid w:val="00D96222"/>
    <w:rsid w:val="00D9632D"/>
    <w:rsid w:val="00D96525"/>
    <w:rsid w:val="00D96D63"/>
    <w:rsid w:val="00D96EBC"/>
    <w:rsid w:val="00D97032"/>
    <w:rsid w:val="00D97204"/>
    <w:rsid w:val="00D9763D"/>
    <w:rsid w:val="00D977EB"/>
    <w:rsid w:val="00D978F6"/>
    <w:rsid w:val="00D97A3F"/>
    <w:rsid w:val="00D97A92"/>
    <w:rsid w:val="00D97ADD"/>
    <w:rsid w:val="00D97AE1"/>
    <w:rsid w:val="00D97BCA"/>
    <w:rsid w:val="00D97EAB"/>
    <w:rsid w:val="00D97F40"/>
    <w:rsid w:val="00DA009B"/>
    <w:rsid w:val="00DA03F1"/>
    <w:rsid w:val="00DA03FD"/>
    <w:rsid w:val="00DA05A6"/>
    <w:rsid w:val="00DA0AC2"/>
    <w:rsid w:val="00DA0AEC"/>
    <w:rsid w:val="00DA0C32"/>
    <w:rsid w:val="00DA0E66"/>
    <w:rsid w:val="00DA0F41"/>
    <w:rsid w:val="00DA0FA2"/>
    <w:rsid w:val="00DA1004"/>
    <w:rsid w:val="00DA1191"/>
    <w:rsid w:val="00DA14FA"/>
    <w:rsid w:val="00DA167B"/>
    <w:rsid w:val="00DA234B"/>
    <w:rsid w:val="00DA2399"/>
    <w:rsid w:val="00DA26FA"/>
    <w:rsid w:val="00DA2AD4"/>
    <w:rsid w:val="00DA2D99"/>
    <w:rsid w:val="00DA2E24"/>
    <w:rsid w:val="00DA300F"/>
    <w:rsid w:val="00DA32D2"/>
    <w:rsid w:val="00DA338B"/>
    <w:rsid w:val="00DA3C45"/>
    <w:rsid w:val="00DA3C74"/>
    <w:rsid w:val="00DA4A55"/>
    <w:rsid w:val="00DA4E64"/>
    <w:rsid w:val="00DA5144"/>
    <w:rsid w:val="00DA5168"/>
    <w:rsid w:val="00DA53AC"/>
    <w:rsid w:val="00DA5911"/>
    <w:rsid w:val="00DA5943"/>
    <w:rsid w:val="00DA5CA7"/>
    <w:rsid w:val="00DA5EB7"/>
    <w:rsid w:val="00DA69D2"/>
    <w:rsid w:val="00DA6D34"/>
    <w:rsid w:val="00DA70D0"/>
    <w:rsid w:val="00DA70E7"/>
    <w:rsid w:val="00DA722E"/>
    <w:rsid w:val="00DA73C4"/>
    <w:rsid w:val="00DA771F"/>
    <w:rsid w:val="00DA7733"/>
    <w:rsid w:val="00DA7890"/>
    <w:rsid w:val="00DA7A51"/>
    <w:rsid w:val="00DA7B4B"/>
    <w:rsid w:val="00DA7C22"/>
    <w:rsid w:val="00DA7DD9"/>
    <w:rsid w:val="00DA7E6F"/>
    <w:rsid w:val="00DAE4C9"/>
    <w:rsid w:val="00DB0003"/>
    <w:rsid w:val="00DB01D6"/>
    <w:rsid w:val="00DB0276"/>
    <w:rsid w:val="00DB0389"/>
    <w:rsid w:val="00DB07CB"/>
    <w:rsid w:val="00DB085C"/>
    <w:rsid w:val="00DB0EAD"/>
    <w:rsid w:val="00DB0FCF"/>
    <w:rsid w:val="00DB127E"/>
    <w:rsid w:val="00DB12EB"/>
    <w:rsid w:val="00DB135B"/>
    <w:rsid w:val="00DB17C0"/>
    <w:rsid w:val="00DB198D"/>
    <w:rsid w:val="00DB1B63"/>
    <w:rsid w:val="00DB1C2C"/>
    <w:rsid w:val="00DB1E02"/>
    <w:rsid w:val="00DB22BD"/>
    <w:rsid w:val="00DB230F"/>
    <w:rsid w:val="00DB23BC"/>
    <w:rsid w:val="00DB252E"/>
    <w:rsid w:val="00DB2647"/>
    <w:rsid w:val="00DB2760"/>
    <w:rsid w:val="00DB2C52"/>
    <w:rsid w:val="00DB2F85"/>
    <w:rsid w:val="00DB33A5"/>
    <w:rsid w:val="00DB398E"/>
    <w:rsid w:val="00DB3A61"/>
    <w:rsid w:val="00DB3A8C"/>
    <w:rsid w:val="00DB3BEF"/>
    <w:rsid w:val="00DB3C8A"/>
    <w:rsid w:val="00DB3D65"/>
    <w:rsid w:val="00DB3F10"/>
    <w:rsid w:val="00DB4127"/>
    <w:rsid w:val="00DB42A1"/>
    <w:rsid w:val="00DB43B2"/>
    <w:rsid w:val="00DB4544"/>
    <w:rsid w:val="00DB461E"/>
    <w:rsid w:val="00DB4A23"/>
    <w:rsid w:val="00DB5EFC"/>
    <w:rsid w:val="00DB6036"/>
    <w:rsid w:val="00DB635B"/>
    <w:rsid w:val="00DB653A"/>
    <w:rsid w:val="00DB66B2"/>
    <w:rsid w:val="00DB6973"/>
    <w:rsid w:val="00DB69CC"/>
    <w:rsid w:val="00DB6D6A"/>
    <w:rsid w:val="00DB6DFD"/>
    <w:rsid w:val="00DB718C"/>
    <w:rsid w:val="00DB75AC"/>
    <w:rsid w:val="00DB7960"/>
    <w:rsid w:val="00DB7A5C"/>
    <w:rsid w:val="00DB7E72"/>
    <w:rsid w:val="00DB7EA0"/>
    <w:rsid w:val="00DC006A"/>
    <w:rsid w:val="00DC02A3"/>
    <w:rsid w:val="00DC0585"/>
    <w:rsid w:val="00DC0629"/>
    <w:rsid w:val="00DC067C"/>
    <w:rsid w:val="00DC097A"/>
    <w:rsid w:val="00DC0A19"/>
    <w:rsid w:val="00DC0E80"/>
    <w:rsid w:val="00DC0ED8"/>
    <w:rsid w:val="00DC1081"/>
    <w:rsid w:val="00DC1A47"/>
    <w:rsid w:val="00DC1F36"/>
    <w:rsid w:val="00DC229B"/>
    <w:rsid w:val="00DC25D2"/>
    <w:rsid w:val="00DC272A"/>
    <w:rsid w:val="00DC2A77"/>
    <w:rsid w:val="00DC2AAB"/>
    <w:rsid w:val="00DC2F23"/>
    <w:rsid w:val="00DC2F81"/>
    <w:rsid w:val="00DC3090"/>
    <w:rsid w:val="00DC30A1"/>
    <w:rsid w:val="00DC37CD"/>
    <w:rsid w:val="00DC3B8A"/>
    <w:rsid w:val="00DC3F88"/>
    <w:rsid w:val="00DC41FC"/>
    <w:rsid w:val="00DC4229"/>
    <w:rsid w:val="00DC4C8A"/>
    <w:rsid w:val="00DC4CB9"/>
    <w:rsid w:val="00DC4D00"/>
    <w:rsid w:val="00DC4E85"/>
    <w:rsid w:val="00DC4F67"/>
    <w:rsid w:val="00DC5363"/>
    <w:rsid w:val="00DC5794"/>
    <w:rsid w:val="00DC5814"/>
    <w:rsid w:val="00DC5919"/>
    <w:rsid w:val="00DC5981"/>
    <w:rsid w:val="00DC5A4B"/>
    <w:rsid w:val="00DC5BE4"/>
    <w:rsid w:val="00DC5DD3"/>
    <w:rsid w:val="00DC6204"/>
    <w:rsid w:val="00DC627F"/>
    <w:rsid w:val="00DC62FE"/>
    <w:rsid w:val="00DC6626"/>
    <w:rsid w:val="00DC68B6"/>
    <w:rsid w:val="00DC690A"/>
    <w:rsid w:val="00DC69CB"/>
    <w:rsid w:val="00DC6A85"/>
    <w:rsid w:val="00DC6AB5"/>
    <w:rsid w:val="00DC6E08"/>
    <w:rsid w:val="00DC6F12"/>
    <w:rsid w:val="00DC7280"/>
    <w:rsid w:val="00DC72A2"/>
    <w:rsid w:val="00DC735C"/>
    <w:rsid w:val="00DC7416"/>
    <w:rsid w:val="00DC78E1"/>
    <w:rsid w:val="00DC7B92"/>
    <w:rsid w:val="00DC7BD1"/>
    <w:rsid w:val="00DD05DB"/>
    <w:rsid w:val="00DD0731"/>
    <w:rsid w:val="00DD0F4B"/>
    <w:rsid w:val="00DD1142"/>
    <w:rsid w:val="00DD1285"/>
    <w:rsid w:val="00DD1358"/>
    <w:rsid w:val="00DD152A"/>
    <w:rsid w:val="00DD1C14"/>
    <w:rsid w:val="00DD2986"/>
    <w:rsid w:val="00DD2BB4"/>
    <w:rsid w:val="00DD2F3B"/>
    <w:rsid w:val="00DD376E"/>
    <w:rsid w:val="00DD3770"/>
    <w:rsid w:val="00DD39B8"/>
    <w:rsid w:val="00DD3C69"/>
    <w:rsid w:val="00DD3F68"/>
    <w:rsid w:val="00DD3F6D"/>
    <w:rsid w:val="00DD40C0"/>
    <w:rsid w:val="00DD43D0"/>
    <w:rsid w:val="00DD474B"/>
    <w:rsid w:val="00DD4A79"/>
    <w:rsid w:val="00DD4B29"/>
    <w:rsid w:val="00DD4B3A"/>
    <w:rsid w:val="00DD4B83"/>
    <w:rsid w:val="00DD4FC2"/>
    <w:rsid w:val="00DD5053"/>
    <w:rsid w:val="00DD52CE"/>
    <w:rsid w:val="00DD56A3"/>
    <w:rsid w:val="00DD57C8"/>
    <w:rsid w:val="00DD5CB8"/>
    <w:rsid w:val="00DD6071"/>
    <w:rsid w:val="00DD63A9"/>
    <w:rsid w:val="00DD63DD"/>
    <w:rsid w:val="00DD645E"/>
    <w:rsid w:val="00DD66AE"/>
    <w:rsid w:val="00DD67A5"/>
    <w:rsid w:val="00DD67AE"/>
    <w:rsid w:val="00DD694D"/>
    <w:rsid w:val="00DD6ECF"/>
    <w:rsid w:val="00DD6F4C"/>
    <w:rsid w:val="00DD73E6"/>
    <w:rsid w:val="00DD7539"/>
    <w:rsid w:val="00DD767C"/>
    <w:rsid w:val="00DD79D0"/>
    <w:rsid w:val="00DD7BEB"/>
    <w:rsid w:val="00DD7D5F"/>
    <w:rsid w:val="00DD7F5C"/>
    <w:rsid w:val="00DE06C3"/>
    <w:rsid w:val="00DE075C"/>
    <w:rsid w:val="00DE094D"/>
    <w:rsid w:val="00DE1025"/>
    <w:rsid w:val="00DE1085"/>
    <w:rsid w:val="00DE1133"/>
    <w:rsid w:val="00DE14FB"/>
    <w:rsid w:val="00DE1716"/>
    <w:rsid w:val="00DE17C7"/>
    <w:rsid w:val="00DE17D4"/>
    <w:rsid w:val="00DE1B2C"/>
    <w:rsid w:val="00DE1C56"/>
    <w:rsid w:val="00DE220B"/>
    <w:rsid w:val="00DE2310"/>
    <w:rsid w:val="00DE2631"/>
    <w:rsid w:val="00DE2A08"/>
    <w:rsid w:val="00DE2BF5"/>
    <w:rsid w:val="00DE2DC1"/>
    <w:rsid w:val="00DE2EDE"/>
    <w:rsid w:val="00DE304B"/>
    <w:rsid w:val="00DE344D"/>
    <w:rsid w:val="00DE3456"/>
    <w:rsid w:val="00DE3488"/>
    <w:rsid w:val="00DE3925"/>
    <w:rsid w:val="00DE3DEB"/>
    <w:rsid w:val="00DE40FE"/>
    <w:rsid w:val="00DE4144"/>
    <w:rsid w:val="00DE45C0"/>
    <w:rsid w:val="00DE48A5"/>
    <w:rsid w:val="00DE4D8E"/>
    <w:rsid w:val="00DE50A2"/>
    <w:rsid w:val="00DE5540"/>
    <w:rsid w:val="00DE5700"/>
    <w:rsid w:val="00DE5A67"/>
    <w:rsid w:val="00DE5B31"/>
    <w:rsid w:val="00DE6164"/>
    <w:rsid w:val="00DE63DB"/>
    <w:rsid w:val="00DE658A"/>
    <w:rsid w:val="00DE683E"/>
    <w:rsid w:val="00DE68B8"/>
    <w:rsid w:val="00DE6C40"/>
    <w:rsid w:val="00DE6FFB"/>
    <w:rsid w:val="00DE71FB"/>
    <w:rsid w:val="00DE722C"/>
    <w:rsid w:val="00DE7330"/>
    <w:rsid w:val="00DE77E5"/>
    <w:rsid w:val="00DE7824"/>
    <w:rsid w:val="00DE7D81"/>
    <w:rsid w:val="00DE7EBB"/>
    <w:rsid w:val="00DF012D"/>
    <w:rsid w:val="00DF0351"/>
    <w:rsid w:val="00DF05A7"/>
    <w:rsid w:val="00DF05CB"/>
    <w:rsid w:val="00DF068E"/>
    <w:rsid w:val="00DF085D"/>
    <w:rsid w:val="00DF0879"/>
    <w:rsid w:val="00DF08C2"/>
    <w:rsid w:val="00DF0AF7"/>
    <w:rsid w:val="00DF0C6A"/>
    <w:rsid w:val="00DF0F40"/>
    <w:rsid w:val="00DF11E3"/>
    <w:rsid w:val="00DF11F4"/>
    <w:rsid w:val="00DF127B"/>
    <w:rsid w:val="00DF1406"/>
    <w:rsid w:val="00DF16B0"/>
    <w:rsid w:val="00DF1BFC"/>
    <w:rsid w:val="00DF2148"/>
    <w:rsid w:val="00DF2269"/>
    <w:rsid w:val="00DF2AEB"/>
    <w:rsid w:val="00DF2CD7"/>
    <w:rsid w:val="00DF2DDC"/>
    <w:rsid w:val="00DF2FC3"/>
    <w:rsid w:val="00DF301D"/>
    <w:rsid w:val="00DF308A"/>
    <w:rsid w:val="00DF3157"/>
    <w:rsid w:val="00DF32DD"/>
    <w:rsid w:val="00DF3427"/>
    <w:rsid w:val="00DF38C5"/>
    <w:rsid w:val="00DF38D7"/>
    <w:rsid w:val="00DF3FA9"/>
    <w:rsid w:val="00DF4777"/>
    <w:rsid w:val="00DF47E7"/>
    <w:rsid w:val="00DF480D"/>
    <w:rsid w:val="00DF48ED"/>
    <w:rsid w:val="00DF4CB0"/>
    <w:rsid w:val="00DF4FEF"/>
    <w:rsid w:val="00DF50B3"/>
    <w:rsid w:val="00DF5110"/>
    <w:rsid w:val="00DF516E"/>
    <w:rsid w:val="00DF5218"/>
    <w:rsid w:val="00DF575F"/>
    <w:rsid w:val="00DF594D"/>
    <w:rsid w:val="00DF5AD7"/>
    <w:rsid w:val="00DF5EF0"/>
    <w:rsid w:val="00DF60BC"/>
    <w:rsid w:val="00DF61A1"/>
    <w:rsid w:val="00DF628C"/>
    <w:rsid w:val="00DF6546"/>
    <w:rsid w:val="00DF665C"/>
    <w:rsid w:val="00DF691A"/>
    <w:rsid w:val="00DF6B76"/>
    <w:rsid w:val="00DF6BEF"/>
    <w:rsid w:val="00DF6CDC"/>
    <w:rsid w:val="00DF74E8"/>
    <w:rsid w:val="00DF779E"/>
    <w:rsid w:val="00DF7A5C"/>
    <w:rsid w:val="00DF7FAC"/>
    <w:rsid w:val="00E000F8"/>
    <w:rsid w:val="00E003FF"/>
    <w:rsid w:val="00E00425"/>
    <w:rsid w:val="00E009D8"/>
    <w:rsid w:val="00E009EC"/>
    <w:rsid w:val="00E00CEE"/>
    <w:rsid w:val="00E01A2F"/>
    <w:rsid w:val="00E01A9C"/>
    <w:rsid w:val="00E01B97"/>
    <w:rsid w:val="00E01F30"/>
    <w:rsid w:val="00E01FE2"/>
    <w:rsid w:val="00E020AB"/>
    <w:rsid w:val="00E02610"/>
    <w:rsid w:val="00E02811"/>
    <w:rsid w:val="00E0291D"/>
    <w:rsid w:val="00E02C47"/>
    <w:rsid w:val="00E036B8"/>
    <w:rsid w:val="00E0389D"/>
    <w:rsid w:val="00E039C2"/>
    <w:rsid w:val="00E03A7C"/>
    <w:rsid w:val="00E03B76"/>
    <w:rsid w:val="00E03F6C"/>
    <w:rsid w:val="00E040F8"/>
    <w:rsid w:val="00E040FC"/>
    <w:rsid w:val="00E041D8"/>
    <w:rsid w:val="00E0427A"/>
    <w:rsid w:val="00E04351"/>
    <w:rsid w:val="00E044B1"/>
    <w:rsid w:val="00E04EF0"/>
    <w:rsid w:val="00E0525B"/>
    <w:rsid w:val="00E0525F"/>
    <w:rsid w:val="00E054CE"/>
    <w:rsid w:val="00E05869"/>
    <w:rsid w:val="00E05A8D"/>
    <w:rsid w:val="00E062B5"/>
    <w:rsid w:val="00E0640B"/>
    <w:rsid w:val="00E06723"/>
    <w:rsid w:val="00E0682B"/>
    <w:rsid w:val="00E06973"/>
    <w:rsid w:val="00E06C0A"/>
    <w:rsid w:val="00E06E29"/>
    <w:rsid w:val="00E06E86"/>
    <w:rsid w:val="00E07140"/>
    <w:rsid w:val="00E07192"/>
    <w:rsid w:val="00E0782E"/>
    <w:rsid w:val="00E078CD"/>
    <w:rsid w:val="00E07A31"/>
    <w:rsid w:val="00E07A91"/>
    <w:rsid w:val="00E07D8A"/>
    <w:rsid w:val="00E07EFA"/>
    <w:rsid w:val="00E10643"/>
    <w:rsid w:val="00E10D6C"/>
    <w:rsid w:val="00E11570"/>
    <w:rsid w:val="00E11876"/>
    <w:rsid w:val="00E11A51"/>
    <w:rsid w:val="00E11F8A"/>
    <w:rsid w:val="00E11F8E"/>
    <w:rsid w:val="00E120A7"/>
    <w:rsid w:val="00E120F1"/>
    <w:rsid w:val="00E1249C"/>
    <w:rsid w:val="00E12591"/>
    <w:rsid w:val="00E12698"/>
    <w:rsid w:val="00E1270E"/>
    <w:rsid w:val="00E12C71"/>
    <w:rsid w:val="00E12F2F"/>
    <w:rsid w:val="00E1346A"/>
    <w:rsid w:val="00E13729"/>
    <w:rsid w:val="00E1382C"/>
    <w:rsid w:val="00E139CB"/>
    <w:rsid w:val="00E142FE"/>
    <w:rsid w:val="00E1485E"/>
    <w:rsid w:val="00E1499D"/>
    <w:rsid w:val="00E149C6"/>
    <w:rsid w:val="00E150D5"/>
    <w:rsid w:val="00E15355"/>
    <w:rsid w:val="00E157E2"/>
    <w:rsid w:val="00E161DA"/>
    <w:rsid w:val="00E162C2"/>
    <w:rsid w:val="00E16307"/>
    <w:rsid w:val="00E16382"/>
    <w:rsid w:val="00E1648F"/>
    <w:rsid w:val="00E164DB"/>
    <w:rsid w:val="00E16FF8"/>
    <w:rsid w:val="00E1720B"/>
    <w:rsid w:val="00E17227"/>
    <w:rsid w:val="00E1725A"/>
    <w:rsid w:val="00E172A0"/>
    <w:rsid w:val="00E172BE"/>
    <w:rsid w:val="00E176AA"/>
    <w:rsid w:val="00E17718"/>
    <w:rsid w:val="00E1790C"/>
    <w:rsid w:val="00E17E57"/>
    <w:rsid w:val="00E20059"/>
    <w:rsid w:val="00E207AD"/>
    <w:rsid w:val="00E20A4C"/>
    <w:rsid w:val="00E20E1F"/>
    <w:rsid w:val="00E20F96"/>
    <w:rsid w:val="00E21315"/>
    <w:rsid w:val="00E21539"/>
    <w:rsid w:val="00E21653"/>
    <w:rsid w:val="00E21A95"/>
    <w:rsid w:val="00E2205C"/>
    <w:rsid w:val="00E220E3"/>
    <w:rsid w:val="00E22307"/>
    <w:rsid w:val="00E228B3"/>
    <w:rsid w:val="00E22B61"/>
    <w:rsid w:val="00E2300A"/>
    <w:rsid w:val="00E2368E"/>
    <w:rsid w:val="00E23EAF"/>
    <w:rsid w:val="00E23F4D"/>
    <w:rsid w:val="00E240B5"/>
    <w:rsid w:val="00E2433C"/>
    <w:rsid w:val="00E245BA"/>
    <w:rsid w:val="00E24879"/>
    <w:rsid w:val="00E24D2A"/>
    <w:rsid w:val="00E24D77"/>
    <w:rsid w:val="00E24EA0"/>
    <w:rsid w:val="00E24F0C"/>
    <w:rsid w:val="00E25330"/>
    <w:rsid w:val="00E2541D"/>
    <w:rsid w:val="00E255B1"/>
    <w:rsid w:val="00E25668"/>
    <w:rsid w:val="00E25700"/>
    <w:rsid w:val="00E25992"/>
    <w:rsid w:val="00E259D9"/>
    <w:rsid w:val="00E25CC0"/>
    <w:rsid w:val="00E263BC"/>
    <w:rsid w:val="00E26569"/>
    <w:rsid w:val="00E2658D"/>
    <w:rsid w:val="00E265BD"/>
    <w:rsid w:val="00E26773"/>
    <w:rsid w:val="00E26915"/>
    <w:rsid w:val="00E26E1C"/>
    <w:rsid w:val="00E271AE"/>
    <w:rsid w:val="00E2754E"/>
    <w:rsid w:val="00E2762A"/>
    <w:rsid w:val="00E2781F"/>
    <w:rsid w:val="00E279F5"/>
    <w:rsid w:val="00E27AE1"/>
    <w:rsid w:val="00E27F40"/>
    <w:rsid w:val="00E3022E"/>
    <w:rsid w:val="00E302AA"/>
    <w:rsid w:val="00E30D20"/>
    <w:rsid w:val="00E30DAD"/>
    <w:rsid w:val="00E313A3"/>
    <w:rsid w:val="00E314AA"/>
    <w:rsid w:val="00E318BC"/>
    <w:rsid w:val="00E31EA6"/>
    <w:rsid w:val="00E32141"/>
    <w:rsid w:val="00E3216A"/>
    <w:rsid w:val="00E32585"/>
    <w:rsid w:val="00E3273C"/>
    <w:rsid w:val="00E32A31"/>
    <w:rsid w:val="00E32A94"/>
    <w:rsid w:val="00E32F90"/>
    <w:rsid w:val="00E32FBC"/>
    <w:rsid w:val="00E3311E"/>
    <w:rsid w:val="00E33144"/>
    <w:rsid w:val="00E331A2"/>
    <w:rsid w:val="00E333FC"/>
    <w:rsid w:val="00E336F7"/>
    <w:rsid w:val="00E338EC"/>
    <w:rsid w:val="00E34105"/>
    <w:rsid w:val="00E34268"/>
    <w:rsid w:val="00E3461B"/>
    <w:rsid w:val="00E34633"/>
    <w:rsid w:val="00E34991"/>
    <w:rsid w:val="00E34B98"/>
    <w:rsid w:val="00E34DA7"/>
    <w:rsid w:val="00E34E28"/>
    <w:rsid w:val="00E34EDA"/>
    <w:rsid w:val="00E360B7"/>
    <w:rsid w:val="00E360CB"/>
    <w:rsid w:val="00E36430"/>
    <w:rsid w:val="00E36A9D"/>
    <w:rsid w:val="00E3715C"/>
    <w:rsid w:val="00E37302"/>
    <w:rsid w:val="00E374AC"/>
    <w:rsid w:val="00E374CC"/>
    <w:rsid w:val="00E37746"/>
    <w:rsid w:val="00E37A8D"/>
    <w:rsid w:val="00E37B62"/>
    <w:rsid w:val="00E37C9F"/>
    <w:rsid w:val="00E37D8D"/>
    <w:rsid w:val="00E3CD73"/>
    <w:rsid w:val="00E400ED"/>
    <w:rsid w:val="00E402F0"/>
    <w:rsid w:val="00E40B1F"/>
    <w:rsid w:val="00E40C88"/>
    <w:rsid w:val="00E4113A"/>
    <w:rsid w:val="00E41151"/>
    <w:rsid w:val="00E412D6"/>
    <w:rsid w:val="00E416F6"/>
    <w:rsid w:val="00E41C23"/>
    <w:rsid w:val="00E41D0A"/>
    <w:rsid w:val="00E41D55"/>
    <w:rsid w:val="00E41DBD"/>
    <w:rsid w:val="00E41EFC"/>
    <w:rsid w:val="00E41FB5"/>
    <w:rsid w:val="00E42038"/>
    <w:rsid w:val="00E42587"/>
    <w:rsid w:val="00E427DE"/>
    <w:rsid w:val="00E42A4A"/>
    <w:rsid w:val="00E42E63"/>
    <w:rsid w:val="00E434C1"/>
    <w:rsid w:val="00E43666"/>
    <w:rsid w:val="00E43842"/>
    <w:rsid w:val="00E439A0"/>
    <w:rsid w:val="00E43B25"/>
    <w:rsid w:val="00E43C74"/>
    <w:rsid w:val="00E43C8F"/>
    <w:rsid w:val="00E43C91"/>
    <w:rsid w:val="00E43D1D"/>
    <w:rsid w:val="00E43D88"/>
    <w:rsid w:val="00E43E2F"/>
    <w:rsid w:val="00E43EC3"/>
    <w:rsid w:val="00E44036"/>
    <w:rsid w:val="00E442DB"/>
    <w:rsid w:val="00E44715"/>
    <w:rsid w:val="00E449DD"/>
    <w:rsid w:val="00E44B31"/>
    <w:rsid w:val="00E44BCB"/>
    <w:rsid w:val="00E450DA"/>
    <w:rsid w:val="00E45125"/>
    <w:rsid w:val="00E45330"/>
    <w:rsid w:val="00E454D9"/>
    <w:rsid w:val="00E458EA"/>
    <w:rsid w:val="00E45919"/>
    <w:rsid w:val="00E45C70"/>
    <w:rsid w:val="00E45EB8"/>
    <w:rsid w:val="00E46258"/>
    <w:rsid w:val="00E46482"/>
    <w:rsid w:val="00E465C5"/>
    <w:rsid w:val="00E46670"/>
    <w:rsid w:val="00E46A9E"/>
    <w:rsid w:val="00E46B57"/>
    <w:rsid w:val="00E4713D"/>
    <w:rsid w:val="00E47311"/>
    <w:rsid w:val="00E475F6"/>
    <w:rsid w:val="00E47BD3"/>
    <w:rsid w:val="00E47E08"/>
    <w:rsid w:val="00E5029B"/>
    <w:rsid w:val="00E506D3"/>
    <w:rsid w:val="00E508FA"/>
    <w:rsid w:val="00E509D4"/>
    <w:rsid w:val="00E50B5E"/>
    <w:rsid w:val="00E50BAD"/>
    <w:rsid w:val="00E50C8B"/>
    <w:rsid w:val="00E510CE"/>
    <w:rsid w:val="00E512E8"/>
    <w:rsid w:val="00E51518"/>
    <w:rsid w:val="00E51543"/>
    <w:rsid w:val="00E51915"/>
    <w:rsid w:val="00E51A52"/>
    <w:rsid w:val="00E5220A"/>
    <w:rsid w:val="00E523F2"/>
    <w:rsid w:val="00E525B5"/>
    <w:rsid w:val="00E529C6"/>
    <w:rsid w:val="00E52BDE"/>
    <w:rsid w:val="00E533B2"/>
    <w:rsid w:val="00E53640"/>
    <w:rsid w:val="00E537C5"/>
    <w:rsid w:val="00E53894"/>
    <w:rsid w:val="00E539E2"/>
    <w:rsid w:val="00E53F2A"/>
    <w:rsid w:val="00E54141"/>
    <w:rsid w:val="00E542D9"/>
    <w:rsid w:val="00E54634"/>
    <w:rsid w:val="00E54C3A"/>
    <w:rsid w:val="00E555D1"/>
    <w:rsid w:val="00E55AAB"/>
    <w:rsid w:val="00E55D8A"/>
    <w:rsid w:val="00E55E4B"/>
    <w:rsid w:val="00E560AF"/>
    <w:rsid w:val="00E561C6"/>
    <w:rsid w:val="00E56B10"/>
    <w:rsid w:val="00E57016"/>
    <w:rsid w:val="00E571B0"/>
    <w:rsid w:val="00E572B0"/>
    <w:rsid w:val="00E57665"/>
    <w:rsid w:val="00E604CE"/>
    <w:rsid w:val="00E606F8"/>
    <w:rsid w:val="00E60D47"/>
    <w:rsid w:val="00E6102D"/>
    <w:rsid w:val="00E61042"/>
    <w:rsid w:val="00E6109F"/>
    <w:rsid w:val="00E61407"/>
    <w:rsid w:val="00E61543"/>
    <w:rsid w:val="00E61886"/>
    <w:rsid w:val="00E6197C"/>
    <w:rsid w:val="00E61F08"/>
    <w:rsid w:val="00E62296"/>
    <w:rsid w:val="00E62D1D"/>
    <w:rsid w:val="00E63141"/>
    <w:rsid w:val="00E63253"/>
    <w:rsid w:val="00E6326A"/>
    <w:rsid w:val="00E6329E"/>
    <w:rsid w:val="00E6333F"/>
    <w:rsid w:val="00E63A57"/>
    <w:rsid w:val="00E63ADC"/>
    <w:rsid w:val="00E63E6F"/>
    <w:rsid w:val="00E643B8"/>
    <w:rsid w:val="00E644DB"/>
    <w:rsid w:val="00E6462C"/>
    <w:rsid w:val="00E646DE"/>
    <w:rsid w:val="00E64968"/>
    <w:rsid w:val="00E64971"/>
    <w:rsid w:val="00E64ECF"/>
    <w:rsid w:val="00E64F4D"/>
    <w:rsid w:val="00E65044"/>
    <w:rsid w:val="00E65190"/>
    <w:rsid w:val="00E6542D"/>
    <w:rsid w:val="00E65589"/>
    <w:rsid w:val="00E6632A"/>
    <w:rsid w:val="00E666CC"/>
    <w:rsid w:val="00E66733"/>
    <w:rsid w:val="00E6680F"/>
    <w:rsid w:val="00E6693C"/>
    <w:rsid w:val="00E6693E"/>
    <w:rsid w:val="00E66B6C"/>
    <w:rsid w:val="00E672B6"/>
    <w:rsid w:val="00E6734B"/>
    <w:rsid w:val="00E6737C"/>
    <w:rsid w:val="00E6741F"/>
    <w:rsid w:val="00E67FE3"/>
    <w:rsid w:val="00E700DB"/>
    <w:rsid w:val="00E701B4"/>
    <w:rsid w:val="00E7062C"/>
    <w:rsid w:val="00E708E9"/>
    <w:rsid w:val="00E7187A"/>
    <w:rsid w:val="00E71A37"/>
    <w:rsid w:val="00E71B86"/>
    <w:rsid w:val="00E720E5"/>
    <w:rsid w:val="00E72331"/>
    <w:rsid w:val="00E7248A"/>
    <w:rsid w:val="00E72662"/>
    <w:rsid w:val="00E72FE4"/>
    <w:rsid w:val="00E73C44"/>
    <w:rsid w:val="00E73EED"/>
    <w:rsid w:val="00E741AA"/>
    <w:rsid w:val="00E741AD"/>
    <w:rsid w:val="00E741BF"/>
    <w:rsid w:val="00E74496"/>
    <w:rsid w:val="00E74721"/>
    <w:rsid w:val="00E74744"/>
    <w:rsid w:val="00E75707"/>
    <w:rsid w:val="00E75810"/>
    <w:rsid w:val="00E759D3"/>
    <w:rsid w:val="00E75A32"/>
    <w:rsid w:val="00E75B94"/>
    <w:rsid w:val="00E75C0A"/>
    <w:rsid w:val="00E75D4C"/>
    <w:rsid w:val="00E75E4A"/>
    <w:rsid w:val="00E75E8E"/>
    <w:rsid w:val="00E760C0"/>
    <w:rsid w:val="00E76267"/>
    <w:rsid w:val="00E762C6"/>
    <w:rsid w:val="00E76410"/>
    <w:rsid w:val="00E764B2"/>
    <w:rsid w:val="00E7654F"/>
    <w:rsid w:val="00E767A7"/>
    <w:rsid w:val="00E76B01"/>
    <w:rsid w:val="00E76B1F"/>
    <w:rsid w:val="00E77316"/>
    <w:rsid w:val="00E77427"/>
    <w:rsid w:val="00E776F4"/>
    <w:rsid w:val="00E778CC"/>
    <w:rsid w:val="00E77929"/>
    <w:rsid w:val="00E77C0E"/>
    <w:rsid w:val="00E77CF8"/>
    <w:rsid w:val="00E77D58"/>
    <w:rsid w:val="00E77F9A"/>
    <w:rsid w:val="00E80053"/>
    <w:rsid w:val="00E801AC"/>
    <w:rsid w:val="00E80347"/>
    <w:rsid w:val="00E80450"/>
    <w:rsid w:val="00E807BC"/>
    <w:rsid w:val="00E80B86"/>
    <w:rsid w:val="00E8124B"/>
    <w:rsid w:val="00E8125B"/>
    <w:rsid w:val="00E81358"/>
    <w:rsid w:val="00E814A0"/>
    <w:rsid w:val="00E8175C"/>
    <w:rsid w:val="00E81C17"/>
    <w:rsid w:val="00E81EB4"/>
    <w:rsid w:val="00E826AF"/>
    <w:rsid w:val="00E827F8"/>
    <w:rsid w:val="00E82931"/>
    <w:rsid w:val="00E82B2A"/>
    <w:rsid w:val="00E83011"/>
    <w:rsid w:val="00E830AE"/>
    <w:rsid w:val="00E832B4"/>
    <w:rsid w:val="00E834CA"/>
    <w:rsid w:val="00E83635"/>
    <w:rsid w:val="00E83713"/>
    <w:rsid w:val="00E83931"/>
    <w:rsid w:val="00E83F18"/>
    <w:rsid w:val="00E842B5"/>
    <w:rsid w:val="00E8470B"/>
    <w:rsid w:val="00E848AC"/>
    <w:rsid w:val="00E84A6B"/>
    <w:rsid w:val="00E84A8F"/>
    <w:rsid w:val="00E84B86"/>
    <w:rsid w:val="00E84CDC"/>
    <w:rsid w:val="00E84D44"/>
    <w:rsid w:val="00E84E8F"/>
    <w:rsid w:val="00E850A3"/>
    <w:rsid w:val="00E851C6"/>
    <w:rsid w:val="00E85704"/>
    <w:rsid w:val="00E8580D"/>
    <w:rsid w:val="00E859C5"/>
    <w:rsid w:val="00E85D6A"/>
    <w:rsid w:val="00E85F72"/>
    <w:rsid w:val="00E869D0"/>
    <w:rsid w:val="00E86D31"/>
    <w:rsid w:val="00E86E6B"/>
    <w:rsid w:val="00E86EF0"/>
    <w:rsid w:val="00E86F1C"/>
    <w:rsid w:val="00E871B5"/>
    <w:rsid w:val="00E87615"/>
    <w:rsid w:val="00E879D8"/>
    <w:rsid w:val="00E87CE2"/>
    <w:rsid w:val="00E87D16"/>
    <w:rsid w:val="00E901CA"/>
    <w:rsid w:val="00E902F6"/>
    <w:rsid w:val="00E90368"/>
    <w:rsid w:val="00E90646"/>
    <w:rsid w:val="00E909C5"/>
    <w:rsid w:val="00E90BEC"/>
    <w:rsid w:val="00E91926"/>
    <w:rsid w:val="00E91AB4"/>
    <w:rsid w:val="00E91C77"/>
    <w:rsid w:val="00E92012"/>
    <w:rsid w:val="00E92269"/>
    <w:rsid w:val="00E92328"/>
    <w:rsid w:val="00E924CF"/>
    <w:rsid w:val="00E926E4"/>
    <w:rsid w:val="00E92C20"/>
    <w:rsid w:val="00E92F0F"/>
    <w:rsid w:val="00E92FB6"/>
    <w:rsid w:val="00E9351B"/>
    <w:rsid w:val="00E9366C"/>
    <w:rsid w:val="00E93755"/>
    <w:rsid w:val="00E93791"/>
    <w:rsid w:val="00E93875"/>
    <w:rsid w:val="00E93C94"/>
    <w:rsid w:val="00E93CC1"/>
    <w:rsid w:val="00E944FD"/>
    <w:rsid w:val="00E949FD"/>
    <w:rsid w:val="00E94ECE"/>
    <w:rsid w:val="00E94F0D"/>
    <w:rsid w:val="00E95014"/>
    <w:rsid w:val="00E95447"/>
    <w:rsid w:val="00E95477"/>
    <w:rsid w:val="00E954B4"/>
    <w:rsid w:val="00E95679"/>
    <w:rsid w:val="00E95D3F"/>
    <w:rsid w:val="00E96209"/>
    <w:rsid w:val="00E96238"/>
    <w:rsid w:val="00E962F8"/>
    <w:rsid w:val="00E969C7"/>
    <w:rsid w:val="00E96C03"/>
    <w:rsid w:val="00E96CB4"/>
    <w:rsid w:val="00E96D54"/>
    <w:rsid w:val="00E96DAC"/>
    <w:rsid w:val="00E971CF"/>
    <w:rsid w:val="00E97321"/>
    <w:rsid w:val="00E97C91"/>
    <w:rsid w:val="00EA00B5"/>
    <w:rsid w:val="00EA0246"/>
    <w:rsid w:val="00EA0543"/>
    <w:rsid w:val="00EA0D85"/>
    <w:rsid w:val="00EA153A"/>
    <w:rsid w:val="00EA1FD4"/>
    <w:rsid w:val="00EA23F4"/>
    <w:rsid w:val="00EA289B"/>
    <w:rsid w:val="00EA2B7A"/>
    <w:rsid w:val="00EA37C1"/>
    <w:rsid w:val="00EA3BA8"/>
    <w:rsid w:val="00EA3C8B"/>
    <w:rsid w:val="00EA4234"/>
    <w:rsid w:val="00EA4281"/>
    <w:rsid w:val="00EA44BB"/>
    <w:rsid w:val="00EA44C5"/>
    <w:rsid w:val="00EA459C"/>
    <w:rsid w:val="00EA47A7"/>
    <w:rsid w:val="00EA49F8"/>
    <w:rsid w:val="00EA4A21"/>
    <w:rsid w:val="00EA4A29"/>
    <w:rsid w:val="00EA4C02"/>
    <w:rsid w:val="00EA5294"/>
    <w:rsid w:val="00EA5343"/>
    <w:rsid w:val="00EA5767"/>
    <w:rsid w:val="00EA5855"/>
    <w:rsid w:val="00EA58B2"/>
    <w:rsid w:val="00EA5E3E"/>
    <w:rsid w:val="00EA648D"/>
    <w:rsid w:val="00EA661F"/>
    <w:rsid w:val="00EA70F8"/>
    <w:rsid w:val="00EA735E"/>
    <w:rsid w:val="00EA7AF6"/>
    <w:rsid w:val="00EA7C02"/>
    <w:rsid w:val="00EA7DD2"/>
    <w:rsid w:val="00EB0279"/>
    <w:rsid w:val="00EB0869"/>
    <w:rsid w:val="00EB0916"/>
    <w:rsid w:val="00EB0AAA"/>
    <w:rsid w:val="00EB0D5A"/>
    <w:rsid w:val="00EB1252"/>
    <w:rsid w:val="00EB1338"/>
    <w:rsid w:val="00EB1549"/>
    <w:rsid w:val="00EB18CC"/>
    <w:rsid w:val="00EB1A9A"/>
    <w:rsid w:val="00EB1AC4"/>
    <w:rsid w:val="00EB2609"/>
    <w:rsid w:val="00EB27FD"/>
    <w:rsid w:val="00EB2820"/>
    <w:rsid w:val="00EB2C0C"/>
    <w:rsid w:val="00EB2C29"/>
    <w:rsid w:val="00EB2D8E"/>
    <w:rsid w:val="00EB2FB9"/>
    <w:rsid w:val="00EB36C9"/>
    <w:rsid w:val="00EB3BAC"/>
    <w:rsid w:val="00EB3D18"/>
    <w:rsid w:val="00EB3DC7"/>
    <w:rsid w:val="00EB47C7"/>
    <w:rsid w:val="00EB4B19"/>
    <w:rsid w:val="00EB4BEF"/>
    <w:rsid w:val="00EB4BFA"/>
    <w:rsid w:val="00EB4C84"/>
    <w:rsid w:val="00EB4D13"/>
    <w:rsid w:val="00EB4E43"/>
    <w:rsid w:val="00EB4F49"/>
    <w:rsid w:val="00EB53A5"/>
    <w:rsid w:val="00EB5791"/>
    <w:rsid w:val="00EB57B1"/>
    <w:rsid w:val="00EB593B"/>
    <w:rsid w:val="00EB5950"/>
    <w:rsid w:val="00EB595A"/>
    <w:rsid w:val="00EB5A47"/>
    <w:rsid w:val="00EB5B1F"/>
    <w:rsid w:val="00EB5B49"/>
    <w:rsid w:val="00EB5DC2"/>
    <w:rsid w:val="00EB6045"/>
    <w:rsid w:val="00EB6247"/>
    <w:rsid w:val="00EB6287"/>
    <w:rsid w:val="00EB644D"/>
    <w:rsid w:val="00EB647F"/>
    <w:rsid w:val="00EB67A6"/>
    <w:rsid w:val="00EB6A76"/>
    <w:rsid w:val="00EB6C0B"/>
    <w:rsid w:val="00EB6E32"/>
    <w:rsid w:val="00EB6EDA"/>
    <w:rsid w:val="00EB6F0F"/>
    <w:rsid w:val="00EB7626"/>
    <w:rsid w:val="00EB7943"/>
    <w:rsid w:val="00EB7A0B"/>
    <w:rsid w:val="00EB7C7E"/>
    <w:rsid w:val="00EB7E63"/>
    <w:rsid w:val="00EC026E"/>
    <w:rsid w:val="00EC04A4"/>
    <w:rsid w:val="00EC132A"/>
    <w:rsid w:val="00EC1343"/>
    <w:rsid w:val="00EC137F"/>
    <w:rsid w:val="00EC16DE"/>
    <w:rsid w:val="00EC18C0"/>
    <w:rsid w:val="00EC1BA2"/>
    <w:rsid w:val="00EC1CE3"/>
    <w:rsid w:val="00EC1D97"/>
    <w:rsid w:val="00EC1E80"/>
    <w:rsid w:val="00EC265A"/>
    <w:rsid w:val="00EC2826"/>
    <w:rsid w:val="00EC289F"/>
    <w:rsid w:val="00EC2F4D"/>
    <w:rsid w:val="00EC3045"/>
    <w:rsid w:val="00EC30E6"/>
    <w:rsid w:val="00EC3114"/>
    <w:rsid w:val="00EC31EF"/>
    <w:rsid w:val="00EC322B"/>
    <w:rsid w:val="00EC3316"/>
    <w:rsid w:val="00EC3A21"/>
    <w:rsid w:val="00EC3ED4"/>
    <w:rsid w:val="00EC433F"/>
    <w:rsid w:val="00EC4653"/>
    <w:rsid w:val="00EC4948"/>
    <w:rsid w:val="00EC4A6C"/>
    <w:rsid w:val="00EC4DE7"/>
    <w:rsid w:val="00EC4E73"/>
    <w:rsid w:val="00EC52A4"/>
    <w:rsid w:val="00EC5933"/>
    <w:rsid w:val="00EC5A82"/>
    <w:rsid w:val="00EC5B21"/>
    <w:rsid w:val="00EC5F23"/>
    <w:rsid w:val="00EC62E0"/>
    <w:rsid w:val="00EC658F"/>
    <w:rsid w:val="00EC685C"/>
    <w:rsid w:val="00EC6941"/>
    <w:rsid w:val="00EC69E5"/>
    <w:rsid w:val="00EC6C2A"/>
    <w:rsid w:val="00EC6CCD"/>
    <w:rsid w:val="00EC6FBF"/>
    <w:rsid w:val="00EC7048"/>
    <w:rsid w:val="00EC742D"/>
    <w:rsid w:val="00EC74FB"/>
    <w:rsid w:val="00EC763A"/>
    <w:rsid w:val="00EC76F7"/>
    <w:rsid w:val="00EC7777"/>
    <w:rsid w:val="00EC7806"/>
    <w:rsid w:val="00EC7975"/>
    <w:rsid w:val="00EC7D3D"/>
    <w:rsid w:val="00EC7E39"/>
    <w:rsid w:val="00ED0040"/>
    <w:rsid w:val="00ED048D"/>
    <w:rsid w:val="00ED07F0"/>
    <w:rsid w:val="00ED0895"/>
    <w:rsid w:val="00ED0DEA"/>
    <w:rsid w:val="00ED19A9"/>
    <w:rsid w:val="00ED1B7E"/>
    <w:rsid w:val="00ED1C1A"/>
    <w:rsid w:val="00ED244B"/>
    <w:rsid w:val="00ED267F"/>
    <w:rsid w:val="00ED2991"/>
    <w:rsid w:val="00ED37BC"/>
    <w:rsid w:val="00ED39C7"/>
    <w:rsid w:val="00ED3F67"/>
    <w:rsid w:val="00ED4060"/>
    <w:rsid w:val="00ED44C2"/>
    <w:rsid w:val="00ED48DF"/>
    <w:rsid w:val="00ED5218"/>
    <w:rsid w:val="00ED56E5"/>
    <w:rsid w:val="00ED59A1"/>
    <w:rsid w:val="00ED5C4B"/>
    <w:rsid w:val="00ED6252"/>
    <w:rsid w:val="00ED6303"/>
    <w:rsid w:val="00ED664A"/>
    <w:rsid w:val="00ED6955"/>
    <w:rsid w:val="00ED6CAF"/>
    <w:rsid w:val="00ED6E38"/>
    <w:rsid w:val="00ED6EAA"/>
    <w:rsid w:val="00ED6F4A"/>
    <w:rsid w:val="00ED715C"/>
    <w:rsid w:val="00ED736F"/>
    <w:rsid w:val="00ED738E"/>
    <w:rsid w:val="00ED76CE"/>
    <w:rsid w:val="00ED7ECA"/>
    <w:rsid w:val="00EE0440"/>
    <w:rsid w:val="00EE06DC"/>
    <w:rsid w:val="00EE06E5"/>
    <w:rsid w:val="00EE09EB"/>
    <w:rsid w:val="00EE0AEC"/>
    <w:rsid w:val="00EE0BE4"/>
    <w:rsid w:val="00EE0D68"/>
    <w:rsid w:val="00EE0D8D"/>
    <w:rsid w:val="00EE0DD3"/>
    <w:rsid w:val="00EE10A4"/>
    <w:rsid w:val="00EE11AD"/>
    <w:rsid w:val="00EE11EC"/>
    <w:rsid w:val="00EE18EC"/>
    <w:rsid w:val="00EE1EEB"/>
    <w:rsid w:val="00EE23A1"/>
    <w:rsid w:val="00EE2A34"/>
    <w:rsid w:val="00EE3142"/>
    <w:rsid w:val="00EE3B8A"/>
    <w:rsid w:val="00EE3C4B"/>
    <w:rsid w:val="00EE3D57"/>
    <w:rsid w:val="00EE3E20"/>
    <w:rsid w:val="00EE3EEA"/>
    <w:rsid w:val="00EE4175"/>
    <w:rsid w:val="00EE4306"/>
    <w:rsid w:val="00EE4ECE"/>
    <w:rsid w:val="00EE50E7"/>
    <w:rsid w:val="00EE5943"/>
    <w:rsid w:val="00EE5B04"/>
    <w:rsid w:val="00EE5B17"/>
    <w:rsid w:val="00EE5B91"/>
    <w:rsid w:val="00EE5FA8"/>
    <w:rsid w:val="00EE638D"/>
    <w:rsid w:val="00EE63C0"/>
    <w:rsid w:val="00EE65DD"/>
    <w:rsid w:val="00EE681A"/>
    <w:rsid w:val="00EE6AB2"/>
    <w:rsid w:val="00EE6B00"/>
    <w:rsid w:val="00EE6D0C"/>
    <w:rsid w:val="00EE712F"/>
    <w:rsid w:val="00EE732D"/>
    <w:rsid w:val="00EE737E"/>
    <w:rsid w:val="00EE7403"/>
    <w:rsid w:val="00EE75DD"/>
    <w:rsid w:val="00EE769B"/>
    <w:rsid w:val="00EE7B8F"/>
    <w:rsid w:val="00EE7C4E"/>
    <w:rsid w:val="00EE7D17"/>
    <w:rsid w:val="00EE7D99"/>
    <w:rsid w:val="00EF011B"/>
    <w:rsid w:val="00EF04BD"/>
    <w:rsid w:val="00EF06C6"/>
    <w:rsid w:val="00EF06D9"/>
    <w:rsid w:val="00EF09FC"/>
    <w:rsid w:val="00EF0A3C"/>
    <w:rsid w:val="00EF10B1"/>
    <w:rsid w:val="00EF199E"/>
    <w:rsid w:val="00EF19D4"/>
    <w:rsid w:val="00EF1C08"/>
    <w:rsid w:val="00EF1D67"/>
    <w:rsid w:val="00EF1D7F"/>
    <w:rsid w:val="00EF21F3"/>
    <w:rsid w:val="00EF2568"/>
    <w:rsid w:val="00EF2B8A"/>
    <w:rsid w:val="00EF2FEA"/>
    <w:rsid w:val="00EF303C"/>
    <w:rsid w:val="00EF3221"/>
    <w:rsid w:val="00EF3704"/>
    <w:rsid w:val="00EF38BD"/>
    <w:rsid w:val="00EF3C25"/>
    <w:rsid w:val="00EF4022"/>
    <w:rsid w:val="00EF41E9"/>
    <w:rsid w:val="00EF4310"/>
    <w:rsid w:val="00EF4423"/>
    <w:rsid w:val="00EF48C7"/>
    <w:rsid w:val="00EF4B29"/>
    <w:rsid w:val="00EF4D35"/>
    <w:rsid w:val="00EF4DC4"/>
    <w:rsid w:val="00EF4EA5"/>
    <w:rsid w:val="00EF5193"/>
    <w:rsid w:val="00EF5557"/>
    <w:rsid w:val="00EF5563"/>
    <w:rsid w:val="00EF5DBE"/>
    <w:rsid w:val="00EF5F08"/>
    <w:rsid w:val="00EF62B5"/>
    <w:rsid w:val="00EF64F2"/>
    <w:rsid w:val="00EF671E"/>
    <w:rsid w:val="00EF6727"/>
    <w:rsid w:val="00EF674A"/>
    <w:rsid w:val="00EF67BA"/>
    <w:rsid w:val="00EF6C39"/>
    <w:rsid w:val="00EF6C9C"/>
    <w:rsid w:val="00EF6E3C"/>
    <w:rsid w:val="00EF744B"/>
    <w:rsid w:val="00EF7A48"/>
    <w:rsid w:val="00F00159"/>
    <w:rsid w:val="00F001C1"/>
    <w:rsid w:val="00F0059F"/>
    <w:rsid w:val="00F009B6"/>
    <w:rsid w:val="00F00C09"/>
    <w:rsid w:val="00F00C3F"/>
    <w:rsid w:val="00F00CEE"/>
    <w:rsid w:val="00F00DA2"/>
    <w:rsid w:val="00F00EB3"/>
    <w:rsid w:val="00F01686"/>
    <w:rsid w:val="00F019DD"/>
    <w:rsid w:val="00F01A1F"/>
    <w:rsid w:val="00F01CB1"/>
    <w:rsid w:val="00F01F1A"/>
    <w:rsid w:val="00F01FD9"/>
    <w:rsid w:val="00F024CE"/>
    <w:rsid w:val="00F0255A"/>
    <w:rsid w:val="00F026E3"/>
    <w:rsid w:val="00F02AC3"/>
    <w:rsid w:val="00F03233"/>
    <w:rsid w:val="00F03753"/>
    <w:rsid w:val="00F0378E"/>
    <w:rsid w:val="00F039FE"/>
    <w:rsid w:val="00F03EAD"/>
    <w:rsid w:val="00F04121"/>
    <w:rsid w:val="00F041C4"/>
    <w:rsid w:val="00F04239"/>
    <w:rsid w:val="00F04367"/>
    <w:rsid w:val="00F047EE"/>
    <w:rsid w:val="00F048F4"/>
    <w:rsid w:val="00F04983"/>
    <w:rsid w:val="00F04A38"/>
    <w:rsid w:val="00F04BC3"/>
    <w:rsid w:val="00F04D42"/>
    <w:rsid w:val="00F05898"/>
    <w:rsid w:val="00F05996"/>
    <w:rsid w:val="00F05A19"/>
    <w:rsid w:val="00F05A28"/>
    <w:rsid w:val="00F05A35"/>
    <w:rsid w:val="00F05AA5"/>
    <w:rsid w:val="00F05DF9"/>
    <w:rsid w:val="00F06487"/>
    <w:rsid w:val="00F064F9"/>
    <w:rsid w:val="00F07002"/>
    <w:rsid w:val="00F070F6"/>
    <w:rsid w:val="00F07587"/>
    <w:rsid w:val="00F076B3"/>
    <w:rsid w:val="00F076DE"/>
    <w:rsid w:val="00F078F4"/>
    <w:rsid w:val="00F079A3"/>
    <w:rsid w:val="00F079A6"/>
    <w:rsid w:val="00F07EBC"/>
    <w:rsid w:val="00F101CF"/>
    <w:rsid w:val="00F10544"/>
    <w:rsid w:val="00F10972"/>
    <w:rsid w:val="00F10E94"/>
    <w:rsid w:val="00F112F1"/>
    <w:rsid w:val="00F114EB"/>
    <w:rsid w:val="00F117C2"/>
    <w:rsid w:val="00F11818"/>
    <w:rsid w:val="00F118BE"/>
    <w:rsid w:val="00F120DD"/>
    <w:rsid w:val="00F120EF"/>
    <w:rsid w:val="00F12358"/>
    <w:rsid w:val="00F123DA"/>
    <w:rsid w:val="00F123E8"/>
    <w:rsid w:val="00F125B6"/>
    <w:rsid w:val="00F125E6"/>
    <w:rsid w:val="00F125E9"/>
    <w:rsid w:val="00F12A41"/>
    <w:rsid w:val="00F12A6C"/>
    <w:rsid w:val="00F12B88"/>
    <w:rsid w:val="00F1312B"/>
    <w:rsid w:val="00F13941"/>
    <w:rsid w:val="00F13B2C"/>
    <w:rsid w:val="00F13C27"/>
    <w:rsid w:val="00F14405"/>
    <w:rsid w:val="00F1445F"/>
    <w:rsid w:val="00F144FE"/>
    <w:rsid w:val="00F145DF"/>
    <w:rsid w:val="00F14CF3"/>
    <w:rsid w:val="00F14DDB"/>
    <w:rsid w:val="00F1521E"/>
    <w:rsid w:val="00F152BB"/>
    <w:rsid w:val="00F15534"/>
    <w:rsid w:val="00F15557"/>
    <w:rsid w:val="00F15B58"/>
    <w:rsid w:val="00F15B9A"/>
    <w:rsid w:val="00F15E7B"/>
    <w:rsid w:val="00F16516"/>
    <w:rsid w:val="00F16DFE"/>
    <w:rsid w:val="00F176B7"/>
    <w:rsid w:val="00F17922"/>
    <w:rsid w:val="00F17A82"/>
    <w:rsid w:val="00F17C3C"/>
    <w:rsid w:val="00F17D32"/>
    <w:rsid w:val="00F203A7"/>
    <w:rsid w:val="00F2044D"/>
    <w:rsid w:val="00F20579"/>
    <w:rsid w:val="00F20859"/>
    <w:rsid w:val="00F20F0E"/>
    <w:rsid w:val="00F20F21"/>
    <w:rsid w:val="00F20F43"/>
    <w:rsid w:val="00F20F66"/>
    <w:rsid w:val="00F214D0"/>
    <w:rsid w:val="00F21940"/>
    <w:rsid w:val="00F21AF9"/>
    <w:rsid w:val="00F21B6C"/>
    <w:rsid w:val="00F21BAB"/>
    <w:rsid w:val="00F21C9E"/>
    <w:rsid w:val="00F21F98"/>
    <w:rsid w:val="00F2263B"/>
    <w:rsid w:val="00F2286E"/>
    <w:rsid w:val="00F22A9E"/>
    <w:rsid w:val="00F22D00"/>
    <w:rsid w:val="00F22D0E"/>
    <w:rsid w:val="00F23096"/>
    <w:rsid w:val="00F23248"/>
    <w:rsid w:val="00F234CA"/>
    <w:rsid w:val="00F237F2"/>
    <w:rsid w:val="00F23A71"/>
    <w:rsid w:val="00F23C11"/>
    <w:rsid w:val="00F2403B"/>
    <w:rsid w:val="00F241DE"/>
    <w:rsid w:val="00F247E6"/>
    <w:rsid w:val="00F24A0F"/>
    <w:rsid w:val="00F24CDF"/>
    <w:rsid w:val="00F251D8"/>
    <w:rsid w:val="00F253F1"/>
    <w:rsid w:val="00F2553A"/>
    <w:rsid w:val="00F25966"/>
    <w:rsid w:val="00F25C21"/>
    <w:rsid w:val="00F25D05"/>
    <w:rsid w:val="00F2602C"/>
    <w:rsid w:val="00F26065"/>
    <w:rsid w:val="00F26171"/>
    <w:rsid w:val="00F2654A"/>
    <w:rsid w:val="00F26B03"/>
    <w:rsid w:val="00F26D31"/>
    <w:rsid w:val="00F2700F"/>
    <w:rsid w:val="00F27027"/>
    <w:rsid w:val="00F270C3"/>
    <w:rsid w:val="00F2745F"/>
    <w:rsid w:val="00F274F2"/>
    <w:rsid w:val="00F2757C"/>
    <w:rsid w:val="00F2757F"/>
    <w:rsid w:val="00F2798A"/>
    <w:rsid w:val="00F27A85"/>
    <w:rsid w:val="00F27CBA"/>
    <w:rsid w:val="00F27CF1"/>
    <w:rsid w:val="00F302DA"/>
    <w:rsid w:val="00F303B0"/>
    <w:rsid w:val="00F303C3"/>
    <w:rsid w:val="00F30417"/>
    <w:rsid w:val="00F30727"/>
    <w:rsid w:val="00F30BF5"/>
    <w:rsid w:val="00F30DC9"/>
    <w:rsid w:val="00F30FC8"/>
    <w:rsid w:val="00F31313"/>
    <w:rsid w:val="00F31418"/>
    <w:rsid w:val="00F315FA"/>
    <w:rsid w:val="00F31C00"/>
    <w:rsid w:val="00F31E61"/>
    <w:rsid w:val="00F327AC"/>
    <w:rsid w:val="00F32807"/>
    <w:rsid w:val="00F32B51"/>
    <w:rsid w:val="00F3372A"/>
    <w:rsid w:val="00F337FE"/>
    <w:rsid w:val="00F33828"/>
    <w:rsid w:val="00F33CC4"/>
    <w:rsid w:val="00F33F03"/>
    <w:rsid w:val="00F34011"/>
    <w:rsid w:val="00F341BA"/>
    <w:rsid w:val="00F34378"/>
    <w:rsid w:val="00F34480"/>
    <w:rsid w:val="00F34626"/>
    <w:rsid w:val="00F34CC1"/>
    <w:rsid w:val="00F34CF4"/>
    <w:rsid w:val="00F34FEE"/>
    <w:rsid w:val="00F3510C"/>
    <w:rsid w:val="00F35367"/>
    <w:rsid w:val="00F355C8"/>
    <w:rsid w:val="00F359AD"/>
    <w:rsid w:val="00F35F6A"/>
    <w:rsid w:val="00F36187"/>
    <w:rsid w:val="00F361A4"/>
    <w:rsid w:val="00F36271"/>
    <w:rsid w:val="00F362F6"/>
    <w:rsid w:val="00F366C7"/>
    <w:rsid w:val="00F367AF"/>
    <w:rsid w:val="00F367CA"/>
    <w:rsid w:val="00F369FB"/>
    <w:rsid w:val="00F36C11"/>
    <w:rsid w:val="00F37013"/>
    <w:rsid w:val="00F3736F"/>
    <w:rsid w:val="00F3789C"/>
    <w:rsid w:val="00F3793A"/>
    <w:rsid w:val="00F37C35"/>
    <w:rsid w:val="00F37CC8"/>
    <w:rsid w:val="00F37D74"/>
    <w:rsid w:val="00F40466"/>
    <w:rsid w:val="00F40700"/>
    <w:rsid w:val="00F40715"/>
    <w:rsid w:val="00F4087C"/>
    <w:rsid w:val="00F409D3"/>
    <w:rsid w:val="00F40FED"/>
    <w:rsid w:val="00F41056"/>
    <w:rsid w:val="00F4129E"/>
    <w:rsid w:val="00F41311"/>
    <w:rsid w:val="00F4133D"/>
    <w:rsid w:val="00F41C1F"/>
    <w:rsid w:val="00F421A7"/>
    <w:rsid w:val="00F423B2"/>
    <w:rsid w:val="00F4241A"/>
    <w:rsid w:val="00F42621"/>
    <w:rsid w:val="00F42788"/>
    <w:rsid w:val="00F4288C"/>
    <w:rsid w:val="00F42C97"/>
    <w:rsid w:val="00F42E38"/>
    <w:rsid w:val="00F42FB5"/>
    <w:rsid w:val="00F4365A"/>
    <w:rsid w:val="00F43F23"/>
    <w:rsid w:val="00F44590"/>
    <w:rsid w:val="00F4490F"/>
    <w:rsid w:val="00F44B03"/>
    <w:rsid w:val="00F44C6C"/>
    <w:rsid w:val="00F44E77"/>
    <w:rsid w:val="00F451D8"/>
    <w:rsid w:val="00F45A96"/>
    <w:rsid w:val="00F45ACC"/>
    <w:rsid w:val="00F45D0D"/>
    <w:rsid w:val="00F462D3"/>
    <w:rsid w:val="00F4660F"/>
    <w:rsid w:val="00F467F7"/>
    <w:rsid w:val="00F46A07"/>
    <w:rsid w:val="00F46A0A"/>
    <w:rsid w:val="00F46FCF"/>
    <w:rsid w:val="00F477F3"/>
    <w:rsid w:val="00F47B55"/>
    <w:rsid w:val="00F47E1E"/>
    <w:rsid w:val="00F47EE4"/>
    <w:rsid w:val="00F47F5D"/>
    <w:rsid w:val="00F500DA"/>
    <w:rsid w:val="00F50965"/>
    <w:rsid w:val="00F5097C"/>
    <w:rsid w:val="00F50CCD"/>
    <w:rsid w:val="00F50CF7"/>
    <w:rsid w:val="00F50FC2"/>
    <w:rsid w:val="00F5175B"/>
    <w:rsid w:val="00F518E9"/>
    <w:rsid w:val="00F51C2D"/>
    <w:rsid w:val="00F5252C"/>
    <w:rsid w:val="00F52868"/>
    <w:rsid w:val="00F52B28"/>
    <w:rsid w:val="00F52B58"/>
    <w:rsid w:val="00F52E59"/>
    <w:rsid w:val="00F53288"/>
    <w:rsid w:val="00F53339"/>
    <w:rsid w:val="00F53649"/>
    <w:rsid w:val="00F53BE5"/>
    <w:rsid w:val="00F541E4"/>
    <w:rsid w:val="00F5468E"/>
    <w:rsid w:val="00F547B7"/>
    <w:rsid w:val="00F54E97"/>
    <w:rsid w:val="00F551F0"/>
    <w:rsid w:val="00F55294"/>
    <w:rsid w:val="00F55925"/>
    <w:rsid w:val="00F55954"/>
    <w:rsid w:val="00F55CB3"/>
    <w:rsid w:val="00F55F99"/>
    <w:rsid w:val="00F56078"/>
    <w:rsid w:val="00F5609C"/>
    <w:rsid w:val="00F56921"/>
    <w:rsid w:val="00F56C09"/>
    <w:rsid w:val="00F56E8D"/>
    <w:rsid w:val="00F56FFD"/>
    <w:rsid w:val="00F57014"/>
    <w:rsid w:val="00F570B2"/>
    <w:rsid w:val="00F57295"/>
    <w:rsid w:val="00F57493"/>
    <w:rsid w:val="00F57CC0"/>
    <w:rsid w:val="00F57F2E"/>
    <w:rsid w:val="00F60046"/>
    <w:rsid w:val="00F600A1"/>
    <w:rsid w:val="00F601F7"/>
    <w:rsid w:val="00F60238"/>
    <w:rsid w:val="00F60493"/>
    <w:rsid w:val="00F606DE"/>
    <w:rsid w:val="00F60920"/>
    <w:rsid w:val="00F6097F"/>
    <w:rsid w:val="00F60A64"/>
    <w:rsid w:val="00F60D2D"/>
    <w:rsid w:val="00F60E3A"/>
    <w:rsid w:val="00F60EFD"/>
    <w:rsid w:val="00F61206"/>
    <w:rsid w:val="00F6173D"/>
    <w:rsid w:val="00F6178A"/>
    <w:rsid w:val="00F61EFF"/>
    <w:rsid w:val="00F61F08"/>
    <w:rsid w:val="00F61FAC"/>
    <w:rsid w:val="00F622AE"/>
    <w:rsid w:val="00F625D4"/>
    <w:rsid w:val="00F62921"/>
    <w:rsid w:val="00F62CDC"/>
    <w:rsid w:val="00F62DB6"/>
    <w:rsid w:val="00F62DE2"/>
    <w:rsid w:val="00F63470"/>
    <w:rsid w:val="00F63A1C"/>
    <w:rsid w:val="00F63B12"/>
    <w:rsid w:val="00F63EFA"/>
    <w:rsid w:val="00F64357"/>
    <w:rsid w:val="00F6435A"/>
    <w:rsid w:val="00F644FC"/>
    <w:rsid w:val="00F64787"/>
    <w:rsid w:val="00F6479D"/>
    <w:rsid w:val="00F64C40"/>
    <w:rsid w:val="00F64D3A"/>
    <w:rsid w:val="00F64EDB"/>
    <w:rsid w:val="00F64FA2"/>
    <w:rsid w:val="00F65183"/>
    <w:rsid w:val="00F65326"/>
    <w:rsid w:val="00F65423"/>
    <w:rsid w:val="00F65882"/>
    <w:rsid w:val="00F658A6"/>
    <w:rsid w:val="00F65A1A"/>
    <w:rsid w:val="00F65AA0"/>
    <w:rsid w:val="00F65FED"/>
    <w:rsid w:val="00F660E2"/>
    <w:rsid w:val="00F66138"/>
    <w:rsid w:val="00F663D9"/>
    <w:rsid w:val="00F665FF"/>
    <w:rsid w:val="00F668D5"/>
    <w:rsid w:val="00F669FB"/>
    <w:rsid w:val="00F66C06"/>
    <w:rsid w:val="00F66CA3"/>
    <w:rsid w:val="00F66E61"/>
    <w:rsid w:val="00F66F34"/>
    <w:rsid w:val="00F6747A"/>
    <w:rsid w:val="00F67B78"/>
    <w:rsid w:val="00F67BF8"/>
    <w:rsid w:val="00F67C75"/>
    <w:rsid w:val="00F70006"/>
    <w:rsid w:val="00F7019D"/>
    <w:rsid w:val="00F702EB"/>
    <w:rsid w:val="00F706F6"/>
    <w:rsid w:val="00F70906"/>
    <w:rsid w:val="00F70959"/>
    <w:rsid w:val="00F70BBE"/>
    <w:rsid w:val="00F70C41"/>
    <w:rsid w:val="00F70D11"/>
    <w:rsid w:val="00F70F7E"/>
    <w:rsid w:val="00F715F0"/>
    <w:rsid w:val="00F7167D"/>
    <w:rsid w:val="00F71865"/>
    <w:rsid w:val="00F71A14"/>
    <w:rsid w:val="00F71D8E"/>
    <w:rsid w:val="00F71EF3"/>
    <w:rsid w:val="00F72069"/>
    <w:rsid w:val="00F72203"/>
    <w:rsid w:val="00F72449"/>
    <w:rsid w:val="00F724DC"/>
    <w:rsid w:val="00F72536"/>
    <w:rsid w:val="00F72627"/>
    <w:rsid w:val="00F7280A"/>
    <w:rsid w:val="00F728C0"/>
    <w:rsid w:val="00F72A70"/>
    <w:rsid w:val="00F72C62"/>
    <w:rsid w:val="00F72C70"/>
    <w:rsid w:val="00F72DCF"/>
    <w:rsid w:val="00F72F52"/>
    <w:rsid w:val="00F734D8"/>
    <w:rsid w:val="00F73588"/>
    <w:rsid w:val="00F73619"/>
    <w:rsid w:val="00F73988"/>
    <w:rsid w:val="00F73F29"/>
    <w:rsid w:val="00F74746"/>
    <w:rsid w:val="00F749EC"/>
    <w:rsid w:val="00F74A1C"/>
    <w:rsid w:val="00F74A8C"/>
    <w:rsid w:val="00F74CD7"/>
    <w:rsid w:val="00F750DA"/>
    <w:rsid w:val="00F75263"/>
    <w:rsid w:val="00F753DA"/>
    <w:rsid w:val="00F75D01"/>
    <w:rsid w:val="00F75D4F"/>
    <w:rsid w:val="00F75FDB"/>
    <w:rsid w:val="00F760CA"/>
    <w:rsid w:val="00F760F3"/>
    <w:rsid w:val="00F761AA"/>
    <w:rsid w:val="00F76254"/>
    <w:rsid w:val="00F76284"/>
    <w:rsid w:val="00F765C4"/>
    <w:rsid w:val="00F76C2D"/>
    <w:rsid w:val="00F77167"/>
    <w:rsid w:val="00F772FC"/>
    <w:rsid w:val="00F77646"/>
    <w:rsid w:val="00F77DD2"/>
    <w:rsid w:val="00F80204"/>
    <w:rsid w:val="00F805FE"/>
    <w:rsid w:val="00F80723"/>
    <w:rsid w:val="00F81119"/>
    <w:rsid w:val="00F8141B"/>
    <w:rsid w:val="00F818BA"/>
    <w:rsid w:val="00F81A1D"/>
    <w:rsid w:val="00F81B8B"/>
    <w:rsid w:val="00F81C53"/>
    <w:rsid w:val="00F81DDB"/>
    <w:rsid w:val="00F820E8"/>
    <w:rsid w:val="00F8220D"/>
    <w:rsid w:val="00F82214"/>
    <w:rsid w:val="00F8228E"/>
    <w:rsid w:val="00F82737"/>
    <w:rsid w:val="00F82C50"/>
    <w:rsid w:val="00F82E68"/>
    <w:rsid w:val="00F833D4"/>
    <w:rsid w:val="00F834CB"/>
    <w:rsid w:val="00F838C9"/>
    <w:rsid w:val="00F839F6"/>
    <w:rsid w:val="00F83A18"/>
    <w:rsid w:val="00F83B39"/>
    <w:rsid w:val="00F83D62"/>
    <w:rsid w:val="00F840E1"/>
    <w:rsid w:val="00F8416D"/>
    <w:rsid w:val="00F84260"/>
    <w:rsid w:val="00F843FE"/>
    <w:rsid w:val="00F844AB"/>
    <w:rsid w:val="00F84633"/>
    <w:rsid w:val="00F8463D"/>
    <w:rsid w:val="00F848A8"/>
    <w:rsid w:val="00F84AFF"/>
    <w:rsid w:val="00F84B72"/>
    <w:rsid w:val="00F85233"/>
    <w:rsid w:val="00F855AF"/>
    <w:rsid w:val="00F857A5"/>
    <w:rsid w:val="00F858AB"/>
    <w:rsid w:val="00F85C31"/>
    <w:rsid w:val="00F85C6C"/>
    <w:rsid w:val="00F8626D"/>
    <w:rsid w:val="00F869C4"/>
    <w:rsid w:val="00F87011"/>
    <w:rsid w:val="00F8728E"/>
    <w:rsid w:val="00F872E7"/>
    <w:rsid w:val="00F87652"/>
    <w:rsid w:val="00F87984"/>
    <w:rsid w:val="00F87AD3"/>
    <w:rsid w:val="00F87B0B"/>
    <w:rsid w:val="00F87DA4"/>
    <w:rsid w:val="00F87EE7"/>
    <w:rsid w:val="00F90416"/>
    <w:rsid w:val="00F90560"/>
    <w:rsid w:val="00F90ACB"/>
    <w:rsid w:val="00F90BB5"/>
    <w:rsid w:val="00F90C36"/>
    <w:rsid w:val="00F90E15"/>
    <w:rsid w:val="00F910F3"/>
    <w:rsid w:val="00F913AD"/>
    <w:rsid w:val="00F913D2"/>
    <w:rsid w:val="00F915FC"/>
    <w:rsid w:val="00F91BC0"/>
    <w:rsid w:val="00F91BED"/>
    <w:rsid w:val="00F91C9E"/>
    <w:rsid w:val="00F91D33"/>
    <w:rsid w:val="00F91DDB"/>
    <w:rsid w:val="00F92774"/>
    <w:rsid w:val="00F92ECE"/>
    <w:rsid w:val="00F9309C"/>
    <w:rsid w:val="00F9326C"/>
    <w:rsid w:val="00F9363F"/>
    <w:rsid w:val="00F937D4"/>
    <w:rsid w:val="00F93ACE"/>
    <w:rsid w:val="00F94049"/>
    <w:rsid w:val="00F9419E"/>
    <w:rsid w:val="00F94C9A"/>
    <w:rsid w:val="00F94CBD"/>
    <w:rsid w:val="00F9516F"/>
    <w:rsid w:val="00F9542F"/>
    <w:rsid w:val="00F95BC4"/>
    <w:rsid w:val="00F96003"/>
    <w:rsid w:val="00F961AB"/>
    <w:rsid w:val="00F962FE"/>
    <w:rsid w:val="00F96554"/>
    <w:rsid w:val="00F965FC"/>
    <w:rsid w:val="00F966D1"/>
    <w:rsid w:val="00F96835"/>
    <w:rsid w:val="00F969C3"/>
    <w:rsid w:val="00F96A21"/>
    <w:rsid w:val="00F96D06"/>
    <w:rsid w:val="00F96DE4"/>
    <w:rsid w:val="00F975DC"/>
    <w:rsid w:val="00F97611"/>
    <w:rsid w:val="00F976CC"/>
    <w:rsid w:val="00F97731"/>
    <w:rsid w:val="00F9778D"/>
    <w:rsid w:val="00F97871"/>
    <w:rsid w:val="00F97944"/>
    <w:rsid w:val="00F97990"/>
    <w:rsid w:val="00F97B23"/>
    <w:rsid w:val="00F97CDA"/>
    <w:rsid w:val="00F97E1C"/>
    <w:rsid w:val="00F97FA8"/>
    <w:rsid w:val="00FA00C2"/>
    <w:rsid w:val="00FA020F"/>
    <w:rsid w:val="00FA024D"/>
    <w:rsid w:val="00FA043D"/>
    <w:rsid w:val="00FA068C"/>
    <w:rsid w:val="00FA07C0"/>
    <w:rsid w:val="00FA0944"/>
    <w:rsid w:val="00FA0B56"/>
    <w:rsid w:val="00FA0BF7"/>
    <w:rsid w:val="00FA1164"/>
    <w:rsid w:val="00FA13C5"/>
    <w:rsid w:val="00FA1646"/>
    <w:rsid w:val="00FA1900"/>
    <w:rsid w:val="00FA19B1"/>
    <w:rsid w:val="00FA2416"/>
    <w:rsid w:val="00FA2543"/>
    <w:rsid w:val="00FA2790"/>
    <w:rsid w:val="00FA2823"/>
    <w:rsid w:val="00FA283F"/>
    <w:rsid w:val="00FA3001"/>
    <w:rsid w:val="00FA3213"/>
    <w:rsid w:val="00FA324A"/>
    <w:rsid w:val="00FA33FA"/>
    <w:rsid w:val="00FA364A"/>
    <w:rsid w:val="00FA37F6"/>
    <w:rsid w:val="00FA38F0"/>
    <w:rsid w:val="00FA3B82"/>
    <w:rsid w:val="00FA3C90"/>
    <w:rsid w:val="00FA3EA6"/>
    <w:rsid w:val="00FA3F45"/>
    <w:rsid w:val="00FA40F4"/>
    <w:rsid w:val="00FA4147"/>
    <w:rsid w:val="00FA4EB5"/>
    <w:rsid w:val="00FA4F7B"/>
    <w:rsid w:val="00FA4FEC"/>
    <w:rsid w:val="00FA5350"/>
    <w:rsid w:val="00FA564E"/>
    <w:rsid w:val="00FA56DE"/>
    <w:rsid w:val="00FA5AB4"/>
    <w:rsid w:val="00FA5BA1"/>
    <w:rsid w:val="00FA5BA8"/>
    <w:rsid w:val="00FA5BCB"/>
    <w:rsid w:val="00FA6013"/>
    <w:rsid w:val="00FA60C3"/>
    <w:rsid w:val="00FA61A8"/>
    <w:rsid w:val="00FA62DD"/>
    <w:rsid w:val="00FA637E"/>
    <w:rsid w:val="00FA6709"/>
    <w:rsid w:val="00FA681C"/>
    <w:rsid w:val="00FA6910"/>
    <w:rsid w:val="00FA6BE0"/>
    <w:rsid w:val="00FA6CE3"/>
    <w:rsid w:val="00FA720C"/>
    <w:rsid w:val="00FA7288"/>
    <w:rsid w:val="00FA7357"/>
    <w:rsid w:val="00FA7526"/>
    <w:rsid w:val="00FA75F6"/>
    <w:rsid w:val="00FA7952"/>
    <w:rsid w:val="00FA7C90"/>
    <w:rsid w:val="00FB00B7"/>
    <w:rsid w:val="00FB00C9"/>
    <w:rsid w:val="00FB0533"/>
    <w:rsid w:val="00FB0716"/>
    <w:rsid w:val="00FB084B"/>
    <w:rsid w:val="00FB0A02"/>
    <w:rsid w:val="00FB0AC9"/>
    <w:rsid w:val="00FB0ADF"/>
    <w:rsid w:val="00FB0C32"/>
    <w:rsid w:val="00FB0DF0"/>
    <w:rsid w:val="00FB0E39"/>
    <w:rsid w:val="00FB0E87"/>
    <w:rsid w:val="00FB133A"/>
    <w:rsid w:val="00FB1905"/>
    <w:rsid w:val="00FB2359"/>
    <w:rsid w:val="00FB2785"/>
    <w:rsid w:val="00FB2A32"/>
    <w:rsid w:val="00FB2B91"/>
    <w:rsid w:val="00FB2B99"/>
    <w:rsid w:val="00FB2ED4"/>
    <w:rsid w:val="00FB3043"/>
    <w:rsid w:val="00FB36BB"/>
    <w:rsid w:val="00FB3AE4"/>
    <w:rsid w:val="00FB3E3F"/>
    <w:rsid w:val="00FB3E76"/>
    <w:rsid w:val="00FB3ED3"/>
    <w:rsid w:val="00FB4254"/>
    <w:rsid w:val="00FB44DB"/>
    <w:rsid w:val="00FB4508"/>
    <w:rsid w:val="00FB463A"/>
    <w:rsid w:val="00FB4B09"/>
    <w:rsid w:val="00FB4B32"/>
    <w:rsid w:val="00FB4B9C"/>
    <w:rsid w:val="00FB4C32"/>
    <w:rsid w:val="00FB4E0D"/>
    <w:rsid w:val="00FB507F"/>
    <w:rsid w:val="00FB5393"/>
    <w:rsid w:val="00FB5542"/>
    <w:rsid w:val="00FB57AB"/>
    <w:rsid w:val="00FB590E"/>
    <w:rsid w:val="00FB596B"/>
    <w:rsid w:val="00FB5E72"/>
    <w:rsid w:val="00FB668B"/>
    <w:rsid w:val="00FB6866"/>
    <w:rsid w:val="00FB6918"/>
    <w:rsid w:val="00FB69CC"/>
    <w:rsid w:val="00FB6B30"/>
    <w:rsid w:val="00FB6B37"/>
    <w:rsid w:val="00FB6FD7"/>
    <w:rsid w:val="00FB7312"/>
    <w:rsid w:val="00FB7D06"/>
    <w:rsid w:val="00FB7F19"/>
    <w:rsid w:val="00FB7F54"/>
    <w:rsid w:val="00FC0248"/>
    <w:rsid w:val="00FC0373"/>
    <w:rsid w:val="00FC0BB5"/>
    <w:rsid w:val="00FC0D2D"/>
    <w:rsid w:val="00FC105B"/>
    <w:rsid w:val="00FC1075"/>
    <w:rsid w:val="00FC1093"/>
    <w:rsid w:val="00FC10AB"/>
    <w:rsid w:val="00FC165F"/>
    <w:rsid w:val="00FC19E0"/>
    <w:rsid w:val="00FC1C8A"/>
    <w:rsid w:val="00FC1CEA"/>
    <w:rsid w:val="00FC1DF8"/>
    <w:rsid w:val="00FC23E0"/>
    <w:rsid w:val="00FC25DD"/>
    <w:rsid w:val="00FC27AF"/>
    <w:rsid w:val="00FC2D0E"/>
    <w:rsid w:val="00FC2ED6"/>
    <w:rsid w:val="00FC31BA"/>
    <w:rsid w:val="00FC3348"/>
    <w:rsid w:val="00FC36F2"/>
    <w:rsid w:val="00FC3749"/>
    <w:rsid w:val="00FC380F"/>
    <w:rsid w:val="00FC3847"/>
    <w:rsid w:val="00FC3A9A"/>
    <w:rsid w:val="00FC42A3"/>
    <w:rsid w:val="00FC488D"/>
    <w:rsid w:val="00FC48B3"/>
    <w:rsid w:val="00FC48DE"/>
    <w:rsid w:val="00FC49C0"/>
    <w:rsid w:val="00FC4D61"/>
    <w:rsid w:val="00FC4E99"/>
    <w:rsid w:val="00FC50CD"/>
    <w:rsid w:val="00FC50D6"/>
    <w:rsid w:val="00FC52E7"/>
    <w:rsid w:val="00FC5439"/>
    <w:rsid w:val="00FC54C0"/>
    <w:rsid w:val="00FC557E"/>
    <w:rsid w:val="00FC5AE4"/>
    <w:rsid w:val="00FC5B55"/>
    <w:rsid w:val="00FC5EFA"/>
    <w:rsid w:val="00FC63B7"/>
    <w:rsid w:val="00FC6604"/>
    <w:rsid w:val="00FC67F7"/>
    <w:rsid w:val="00FC6A9D"/>
    <w:rsid w:val="00FC6ABB"/>
    <w:rsid w:val="00FC6C0E"/>
    <w:rsid w:val="00FC6C36"/>
    <w:rsid w:val="00FC6D3D"/>
    <w:rsid w:val="00FC6E31"/>
    <w:rsid w:val="00FC6F6A"/>
    <w:rsid w:val="00FC703D"/>
    <w:rsid w:val="00FC7245"/>
    <w:rsid w:val="00FC7326"/>
    <w:rsid w:val="00FC7426"/>
    <w:rsid w:val="00FC764C"/>
    <w:rsid w:val="00FC7C4F"/>
    <w:rsid w:val="00FD0107"/>
    <w:rsid w:val="00FD01F4"/>
    <w:rsid w:val="00FD0211"/>
    <w:rsid w:val="00FD02F7"/>
    <w:rsid w:val="00FD03B6"/>
    <w:rsid w:val="00FD04BB"/>
    <w:rsid w:val="00FD0916"/>
    <w:rsid w:val="00FD0C28"/>
    <w:rsid w:val="00FD0C8E"/>
    <w:rsid w:val="00FD0CF7"/>
    <w:rsid w:val="00FD0DCA"/>
    <w:rsid w:val="00FD0E1E"/>
    <w:rsid w:val="00FD0EAC"/>
    <w:rsid w:val="00FD10A2"/>
    <w:rsid w:val="00FD1490"/>
    <w:rsid w:val="00FD1986"/>
    <w:rsid w:val="00FD1BE0"/>
    <w:rsid w:val="00FD1DCE"/>
    <w:rsid w:val="00FD2049"/>
    <w:rsid w:val="00FD2982"/>
    <w:rsid w:val="00FD2B38"/>
    <w:rsid w:val="00FD2E63"/>
    <w:rsid w:val="00FD2EC3"/>
    <w:rsid w:val="00FD2EFA"/>
    <w:rsid w:val="00FD313F"/>
    <w:rsid w:val="00FD3495"/>
    <w:rsid w:val="00FD3BC6"/>
    <w:rsid w:val="00FD425B"/>
    <w:rsid w:val="00FD4852"/>
    <w:rsid w:val="00FD4A11"/>
    <w:rsid w:val="00FD4D5E"/>
    <w:rsid w:val="00FD4E1E"/>
    <w:rsid w:val="00FD4F12"/>
    <w:rsid w:val="00FD4F20"/>
    <w:rsid w:val="00FD51D4"/>
    <w:rsid w:val="00FD56F4"/>
    <w:rsid w:val="00FD5818"/>
    <w:rsid w:val="00FD5D3B"/>
    <w:rsid w:val="00FD6342"/>
    <w:rsid w:val="00FD6371"/>
    <w:rsid w:val="00FD638D"/>
    <w:rsid w:val="00FD64C7"/>
    <w:rsid w:val="00FD6708"/>
    <w:rsid w:val="00FD6805"/>
    <w:rsid w:val="00FD6A7C"/>
    <w:rsid w:val="00FD6AE8"/>
    <w:rsid w:val="00FD6C58"/>
    <w:rsid w:val="00FD6EC5"/>
    <w:rsid w:val="00FD6F45"/>
    <w:rsid w:val="00FE0725"/>
    <w:rsid w:val="00FE08A4"/>
    <w:rsid w:val="00FE0FD2"/>
    <w:rsid w:val="00FE131C"/>
    <w:rsid w:val="00FE1784"/>
    <w:rsid w:val="00FE18D3"/>
    <w:rsid w:val="00FE19C0"/>
    <w:rsid w:val="00FE1AF4"/>
    <w:rsid w:val="00FE1C0E"/>
    <w:rsid w:val="00FE1F44"/>
    <w:rsid w:val="00FE1F66"/>
    <w:rsid w:val="00FE26CE"/>
    <w:rsid w:val="00FE2788"/>
    <w:rsid w:val="00FE2949"/>
    <w:rsid w:val="00FE2976"/>
    <w:rsid w:val="00FE30B7"/>
    <w:rsid w:val="00FE3A2E"/>
    <w:rsid w:val="00FE3AAB"/>
    <w:rsid w:val="00FE3C63"/>
    <w:rsid w:val="00FE3C82"/>
    <w:rsid w:val="00FE3D94"/>
    <w:rsid w:val="00FE3FF0"/>
    <w:rsid w:val="00FE42ED"/>
    <w:rsid w:val="00FE5196"/>
    <w:rsid w:val="00FE54C1"/>
    <w:rsid w:val="00FE5C40"/>
    <w:rsid w:val="00FE5EF4"/>
    <w:rsid w:val="00FE5F32"/>
    <w:rsid w:val="00FE6218"/>
    <w:rsid w:val="00FE6494"/>
    <w:rsid w:val="00FE6573"/>
    <w:rsid w:val="00FE6EC5"/>
    <w:rsid w:val="00FE6F49"/>
    <w:rsid w:val="00FE740B"/>
    <w:rsid w:val="00FE75BC"/>
    <w:rsid w:val="00FE76A6"/>
    <w:rsid w:val="00FE78B3"/>
    <w:rsid w:val="00FE7AB5"/>
    <w:rsid w:val="00FF02A6"/>
    <w:rsid w:val="00FF0614"/>
    <w:rsid w:val="00FF0C84"/>
    <w:rsid w:val="00FF0E73"/>
    <w:rsid w:val="00FF0FD0"/>
    <w:rsid w:val="00FF112D"/>
    <w:rsid w:val="00FF1168"/>
    <w:rsid w:val="00FF1564"/>
    <w:rsid w:val="00FF1610"/>
    <w:rsid w:val="00FF1BAD"/>
    <w:rsid w:val="00FF1BE6"/>
    <w:rsid w:val="00FF2135"/>
    <w:rsid w:val="00FF23F9"/>
    <w:rsid w:val="00FF2425"/>
    <w:rsid w:val="00FF285F"/>
    <w:rsid w:val="00FF2CC3"/>
    <w:rsid w:val="00FF2FB9"/>
    <w:rsid w:val="00FF3104"/>
    <w:rsid w:val="00FF35E6"/>
    <w:rsid w:val="00FF3702"/>
    <w:rsid w:val="00FF3AA1"/>
    <w:rsid w:val="00FF3EA7"/>
    <w:rsid w:val="00FF4020"/>
    <w:rsid w:val="00FF410F"/>
    <w:rsid w:val="00FF4467"/>
    <w:rsid w:val="00FF44DF"/>
    <w:rsid w:val="00FF472B"/>
    <w:rsid w:val="00FF4986"/>
    <w:rsid w:val="00FF4BB1"/>
    <w:rsid w:val="00FF4D58"/>
    <w:rsid w:val="00FF4D76"/>
    <w:rsid w:val="00FF4F95"/>
    <w:rsid w:val="00FF4FA3"/>
    <w:rsid w:val="00FF512F"/>
    <w:rsid w:val="00FF51AF"/>
    <w:rsid w:val="00FF5561"/>
    <w:rsid w:val="00FF5747"/>
    <w:rsid w:val="00FF5A94"/>
    <w:rsid w:val="00FF5D17"/>
    <w:rsid w:val="00FF5D9F"/>
    <w:rsid w:val="00FF6158"/>
    <w:rsid w:val="00FF615A"/>
    <w:rsid w:val="00FF6198"/>
    <w:rsid w:val="00FF6468"/>
    <w:rsid w:val="00FF6712"/>
    <w:rsid w:val="00FF6AAE"/>
    <w:rsid w:val="00FF6D8D"/>
    <w:rsid w:val="00FF6F15"/>
    <w:rsid w:val="00FF70A3"/>
    <w:rsid w:val="00FF73D4"/>
    <w:rsid w:val="00FF7AB6"/>
    <w:rsid w:val="00FF7AD6"/>
    <w:rsid w:val="00FF7CFD"/>
    <w:rsid w:val="00FF7E0D"/>
    <w:rsid w:val="0106F38F"/>
    <w:rsid w:val="012B2A96"/>
    <w:rsid w:val="0151869D"/>
    <w:rsid w:val="01743479"/>
    <w:rsid w:val="0180D586"/>
    <w:rsid w:val="01EDE43D"/>
    <w:rsid w:val="01F32040"/>
    <w:rsid w:val="02050B85"/>
    <w:rsid w:val="020A5DC2"/>
    <w:rsid w:val="022E26D3"/>
    <w:rsid w:val="0234CB8E"/>
    <w:rsid w:val="028B172F"/>
    <w:rsid w:val="02AD7F9B"/>
    <w:rsid w:val="02AF0E3C"/>
    <w:rsid w:val="02B1561B"/>
    <w:rsid w:val="02B8FF1F"/>
    <w:rsid w:val="02D9AB19"/>
    <w:rsid w:val="02F68A73"/>
    <w:rsid w:val="02F6BD44"/>
    <w:rsid w:val="030D0AC2"/>
    <w:rsid w:val="030DFD28"/>
    <w:rsid w:val="0333F97E"/>
    <w:rsid w:val="035A13F7"/>
    <w:rsid w:val="037C179B"/>
    <w:rsid w:val="03B53088"/>
    <w:rsid w:val="03BE568D"/>
    <w:rsid w:val="03C7E782"/>
    <w:rsid w:val="03CCF724"/>
    <w:rsid w:val="03CF772E"/>
    <w:rsid w:val="03DEAF98"/>
    <w:rsid w:val="03FD7A09"/>
    <w:rsid w:val="041960B5"/>
    <w:rsid w:val="0443BCD8"/>
    <w:rsid w:val="0450442D"/>
    <w:rsid w:val="045974B8"/>
    <w:rsid w:val="04887510"/>
    <w:rsid w:val="048EBF98"/>
    <w:rsid w:val="049F5E6D"/>
    <w:rsid w:val="04A76D47"/>
    <w:rsid w:val="04B09724"/>
    <w:rsid w:val="04BAFB4E"/>
    <w:rsid w:val="04D023EE"/>
    <w:rsid w:val="051C5710"/>
    <w:rsid w:val="051E7C61"/>
    <w:rsid w:val="0529483D"/>
    <w:rsid w:val="052A5821"/>
    <w:rsid w:val="0541B468"/>
    <w:rsid w:val="05606D28"/>
    <w:rsid w:val="05611B2E"/>
    <w:rsid w:val="059C2953"/>
    <w:rsid w:val="05A36876"/>
    <w:rsid w:val="05C0A7B0"/>
    <w:rsid w:val="05D04D18"/>
    <w:rsid w:val="05E13C28"/>
    <w:rsid w:val="05E7A0AF"/>
    <w:rsid w:val="05EEF95E"/>
    <w:rsid w:val="05F56069"/>
    <w:rsid w:val="061576D8"/>
    <w:rsid w:val="0669B487"/>
    <w:rsid w:val="067F40CE"/>
    <w:rsid w:val="068BFDD5"/>
    <w:rsid w:val="069C2397"/>
    <w:rsid w:val="06A97C50"/>
    <w:rsid w:val="06BE0D60"/>
    <w:rsid w:val="06E74C20"/>
    <w:rsid w:val="06E85B35"/>
    <w:rsid w:val="072099BF"/>
    <w:rsid w:val="0764110E"/>
    <w:rsid w:val="07967227"/>
    <w:rsid w:val="07BB130C"/>
    <w:rsid w:val="07C273B2"/>
    <w:rsid w:val="07C3385F"/>
    <w:rsid w:val="07E3074B"/>
    <w:rsid w:val="07FD7A45"/>
    <w:rsid w:val="08041F00"/>
    <w:rsid w:val="0836CD03"/>
    <w:rsid w:val="08646254"/>
    <w:rsid w:val="08668511"/>
    <w:rsid w:val="08730A47"/>
    <w:rsid w:val="087D6884"/>
    <w:rsid w:val="0893962A"/>
    <w:rsid w:val="08939BD5"/>
    <w:rsid w:val="08B9C63A"/>
    <w:rsid w:val="08F7B0FA"/>
    <w:rsid w:val="08F9A760"/>
    <w:rsid w:val="0951F5D7"/>
    <w:rsid w:val="096514EF"/>
    <w:rsid w:val="098B4FF3"/>
    <w:rsid w:val="09B84D75"/>
    <w:rsid w:val="09C94818"/>
    <w:rsid w:val="09E51826"/>
    <w:rsid w:val="09EC226D"/>
    <w:rsid w:val="09EEBDB6"/>
    <w:rsid w:val="0A12A07C"/>
    <w:rsid w:val="0A3FAB9D"/>
    <w:rsid w:val="0A4E8EA7"/>
    <w:rsid w:val="0A4EF29B"/>
    <w:rsid w:val="0A530325"/>
    <w:rsid w:val="0A569992"/>
    <w:rsid w:val="0A62CF18"/>
    <w:rsid w:val="0A682E78"/>
    <w:rsid w:val="0A859B69"/>
    <w:rsid w:val="0A9B9081"/>
    <w:rsid w:val="0A9C8CA0"/>
    <w:rsid w:val="0AAC5C19"/>
    <w:rsid w:val="0AC20007"/>
    <w:rsid w:val="0AC2023E"/>
    <w:rsid w:val="0AC8E51D"/>
    <w:rsid w:val="0ADB2A76"/>
    <w:rsid w:val="0ADDC1B0"/>
    <w:rsid w:val="0AE1838F"/>
    <w:rsid w:val="0B033E4D"/>
    <w:rsid w:val="0B13F420"/>
    <w:rsid w:val="0B2938B4"/>
    <w:rsid w:val="0B36B936"/>
    <w:rsid w:val="0B4253F9"/>
    <w:rsid w:val="0B59AF54"/>
    <w:rsid w:val="0B62B536"/>
    <w:rsid w:val="0B70C3AA"/>
    <w:rsid w:val="0B8AF2BE"/>
    <w:rsid w:val="0B8B258F"/>
    <w:rsid w:val="0B9D8E5B"/>
    <w:rsid w:val="0BA34CC5"/>
    <w:rsid w:val="0BB7F040"/>
    <w:rsid w:val="0BCEB025"/>
    <w:rsid w:val="0BCF5A11"/>
    <w:rsid w:val="0C061548"/>
    <w:rsid w:val="0C0AF040"/>
    <w:rsid w:val="0C14E09C"/>
    <w:rsid w:val="0C17A228"/>
    <w:rsid w:val="0C17E299"/>
    <w:rsid w:val="0C1F0C5C"/>
    <w:rsid w:val="0C2F97AE"/>
    <w:rsid w:val="0C3315E9"/>
    <w:rsid w:val="0C3C2225"/>
    <w:rsid w:val="0C47305B"/>
    <w:rsid w:val="0C4E3A6B"/>
    <w:rsid w:val="0C8E5CF1"/>
    <w:rsid w:val="0CB448B9"/>
    <w:rsid w:val="0CD0083F"/>
    <w:rsid w:val="0D105D49"/>
    <w:rsid w:val="0D1AAB75"/>
    <w:rsid w:val="0D1F16C8"/>
    <w:rsid w:val="0D451580"/>
    <w:rsid w:val="0D68E2EA"/>
    <w:rsid w:val="0D8BCF7C"/>
    <w:rsid w:val="0D91C724"/>
    <w:rsid w:val="0D9CA80C"/>
    <w:rsid w:val="0D9E6E74"/>
    <w:rsid w:val="0DA8D671"/>
    <w:rsid w:val="0DD8E827"/>
    <w:rsid w:val="0E11897C"/>
    <w:rsid w:val="0E502DED"/>
    <w:rsid w:val="0E828F88"/>
    <w:rsid w:val="0E953157"/>
    <w:rsid w:val="0EB10165"/>
    <w:rsid w:val="0EBBEDE0"/>
    <w:rsid w:val="0EC8FAD2"/>
    <w:rsid w:val="0ECA2EB2"/>
    <w:rsid w:val="0ECE7C72"/>
    <w:rsid w:val="0ED4DB99"/>
    <w:rsid w:val="0EDC525A"/>
    <w:rsid w:val="0EE62FE0"/>
    <w:rsid w:val="0EF171B1"/>
    <w:rsid w:val="0F1BF70C"/>
    <w:rsid w:val="0F41D627"/>
    <w:rsid w:val="0F811563"/>
    <w:rsid w:val="0F879A5E"/>
    <w:rsid w:val="0FCC6505"/>
    <w:rsid w:val="0FD17B3C"/>
    <w:rsid w:val="0FE2EF4E"/>
    <w:rsid w:val="0FED1A58"/>
    <w:rsid w:val="100D4B2A"/>
    <w:rsid w:val="10305A4B"/>
    <w:rsid w:val="103727DB"/>
    <w:rsid w:val="103EF4E1"/>
    <w:rsid w:val="10476693"/>
    <w:rsid w:val="1048D60F"/>
    <w:rsid w:val="10559A6F"/>
    <w:rsid w:val="106ACBF0"/>
    <w:rsid w:val="10753425"/>
    <w:rsid w:val="107BDC5F"/>
    <w:rsid w:val="10BA1723"/>
    <w:rsid w:val="10C23076"/>
    <w:rsid w:val="10DD7E3A"/>
    <w:rsid w:val="10E680BF"/>
    <w:rsid w:val="10F10893"/>
    <w:rsid w:val="11036493"/>
    <w:rsid w:val="1113C654"/>
    <w:rsid w:val="1120F438"/>
    <w:rsid w:val="11273A86"/>
    <w:rsid w:val="1127EADE"/>
    <w:rsid w:val="112A5356"/>
    <w:rsid w:val="112E54AA"/>
    <w:rsid w:val="11315220"/>
    <w:rsid w:val="115750D8"/>
    <w:rsid w:val="116B4C7D"/>
    <w:rsid w:val="116F4A45"/>
    <w:rsid w:val="117720E3"/>
    <w:rsid w:val="11954CC3"/>
    <w:rsid w:val="11BB0D2D"/>
    <w:rsid w:val="11D04413"/>
    <w:rsid w:val="11D43F54"/>
    <w:rsid w:val="11DCAB2F"/>
    <w:rsid w:val="1217CAB8"/>
    <w:rsid w:val="125324CA"/>
    <w:rsid w:val="1253C007"/>
    <w:rsid w:val="12755B2B"/>
    <w:rsid w:val="127D4BE3"/>
    <w:rsid w:val="12967713"/>
    <w:rsid w:val="12A12B9D"/>
    <w:rsid w:val="12DA2115"/>
    <w:rsid w:val="12E0FA01"/>
    <w:rsid w:val="12ED52F9"/>
    <w:rsid w:val="1301116A"/>
    <w:rsid w:val="1301C1C2"/>
    <w:rsid w:val="13033B7E"/>
    <w:rsid w:val="1304C0B5"/>
    <w:rsid w:val="131C23A7"/>
    <w:rsid w:val="132F7D4F"/>
    <w:rsid w:val="133556B6"/>
    <w:rsid w:val="135DCEF5"/>
    <w:rsid w:val="135DF26D"/>
    <w:rsid w:val="136E8B34"/>
    <w:rsid w:val="136F0126"/>
    <w:rsid w:val="1372A039"/>
    <w:rsid w:val="13CDB137"/>
    <w:rsid w:val="13D455F2"/>
    <w:rsid w:val="13EC7F47"/>
    <w:rsid w:val="13F3880E"/>
    <w:rsid w:val="140A6FFE"/>
    <w:rsid w:val="14559E0F"/>
    <w:rsid w:val="145619DC"/>
    <w:rsid w:val="145F9B07"/>
    <w:rsid w:val="1467A5CA"/>
    <w:rsid w:val="147175AA"/>
    <w:rsid w:val="14738CD1"/>
    <w:rsid w:val="14FFC6C7"/>
    <w:rsid w:val="15030682"/>
    <w:rsid w:val="156D4AD6"/>
    <w:rsid w:val="158A2E45"/>
    <w:rsid w:val="158CCC27"/>
    <w:rsid w:val="159058F7"/>
    <w:rsid w:val="15A0AD39"/>
    <w:rsid w:val="15BC27B9"/>
    <w:rsid w:val="15F30149"/>
    <w:rsid w:val="160445A6"/>
    <w:rsid w:val="168D8DE7"/>
    <w:rsid w:val="16D03792"/>
    <w:rsid w:val="16DDD886"/>
    <w:rsid w:val="16E90520"/>
    <w:rsid w:val="16F9A6C8"/>
    <w:rsid w:val="171F969B"/>
    <w:rsid w:val="1729E3E2"/>
    <w:rsid w:val="1731E590"/>
    <w:rsid w:val="173C353F"/>
    <w:rsid w:val="175F6324"/>
    <w:rsid w:val="176D942C"/>
    <w:rsid w:val="177A3E81"/>
    <w:rsid w:val="179656A7"/>
    <w:rsid w:val="179B5B42"/>
    <w:rsid w:val="17B7A9D2"/>
    <w:rsid w:val="17CEE3E5"/>
    <w:rsid w:val="17CF24BD"/>
    <w:rsid w:val="17D4E90C"/>
    <w:rsid w:val="17FA8D8D"/>
    <w:rsid w:val="1802E5E2"/>
    <w:rsid w:val="180EC96F"/>
    <w:rsid w:val="1819E0D5"/>
    <w:rsid w:val="181BD661"/>
    <w:rsid w:val="181DF194"/>
    <w:rsid w:val="1837E4BD"/>
    <w:rsid w:val="1839AB25"/>
    <w:rsid w:val="183C4038"/>
    <w:rsid w:val="1863A879"/>
    <w:rsid w:val="187F1153"/>
    <w:rsid w:val="18826B52"/>
    <w:rsid w:val="1883EF46"/>
    <w:rsid w:val="1890F92E"/>
    <w:rsid w:val="18DC6C39"/>
    <w:rsid w:val="18F38A09"/>
    <w:rsid w:val="191DDD94"/>
    <w:rsid w:val="1932981C"/>
    <w:rsid w:val="1963D1E1"/>
    <w:rsid w:val="197D70D8"/>
    <w:rsid w:val="1985D585"/>
    <w:rsid w:val="1989F8C8"/>
    <w:rsid w:val="1991BE1F"/>
    <w:rsid w:val="19A427E6"/>
    <w:rsid w:val="19DABE80"/>
    <w:rsid w:val="19EA4CCA"/>
    <w:rsid w:val="19EBB923"/>
    <w:rsid w:val="19FEECE8"/>
    <w:rsid w:val="1A01AEBF"/>
    <w:rsid w:val="1A29C138"/>
    <w:rsid w:val="1A2E479A"/>
    <w:rsid w:val="1A45FBB7"/>
    <w:rsid w:val="1A4E6A9E"/>
    <w:rsid w:val="1A7A8559"/>
    <w:rsid w:val="1A8A2B06"/>
    <w:rsid w:val="1A8D6D9D"/>
    <w:rsid w:val="1A9EDDD7"/>
    <w:rsid w:val="1ACF7B02"/>
    <w:rsid w:val="1AD02EE5"/>
    <w:rsid w:val="1ADB8288"/>
    <w:rsid w:val="1AEA9276"/>
    <w:rsid w:val="1AF48A2B"/>
    <w:rsid w:val="1B109A62"/>
    <w:rsid w:val="1B156CD5"/>
    <w:rsid w:val="1B4BE0E1"/>
    <w:rsid w:val="1B98F7FC"/>
    <w:rsid w:val="1BA8CC92"/>
    <w:rsid w:val="1BC59007"/>
    <w:rsid w:val="1BCC8ED1"/>
    <w:rsid w:val="1BFD5447"/>
    <w:rsid w:val="1C4BFF73"/>
    <w:rsid w:val="1C7404C7"/>
    <w:rsid w:val="1C98B117"/>
    <w:rsid w:val="1CAFF07F"/>
    <w:rsid w:val="1CC7CB4A"/>
    <w:rsid w:val="1CE23369"/>
    <w:rsid w:val="1D0B9F75"/>
    <w:rsid w:val="1D36882A"/>
    <w:rsid w:val="1D3FABCB"/>
    <w:rsid w:val="1D447D2B"/>
    <w:rsid w:val="1D513F14"/>
    <w:rsid w:val="1D6F7546"/>
    <w:rsid w:val="1D8490CE"/>
    <w:rsid w:val="1D850506"/>
    <w:rsid w:val="1D893F3B"/>
    <w:rsid w:val="1D8C7EC2"/>
    <w:rsid w:val="1D958BE3"/>
    <w:rsid w:val="1DA5BB6B"/>
    <w:rsid w:val="1DC1EF5F"/>
    <w:rsid w:val="1DC5132D"/>
    <w:rsid w:val="1DC8E5FB"/>
    <w:rsid w:val="1DCC646D"/>
    <w:rsid w:val="1DDF000A"/>
    <w:rsid w:val="1DE633FF"/>
    <w:rsid w:val="1DFDBDB3"/>
    <w:rsid w:val="1E1531FD"/>
    <w:rsid w:val="1E29DEC2"/>
    <w:rsid w:val="1E4F36FB"/>
    <w:rsid w:val="1E51BEC4"/>
    <w:rsid w:val="1E5667E2"/>
    <w:rsid w:val="1E83D4C0"/>
    <w:rsid w:val="1E8AA4E0"/>
    <w:rsid w:val="1E96DC17"/>
    <w:rsid w:val="1EA29E4D"/>
    <w:rsid w:val="1EA4C35B"/>
    <w:rsid w:val="1EA5C9B6"/>
    <w:rsid w:val="1EA602BE"/>
    <w:rsid w:val="1EB9F8D1"/>
    <w:rsid w:val="1EC01FBD"/>
    <w:rsid w:val="1EC02665"/>
    <w:rsid w:val="1F5E1C39"/>
    <w:rsid w:val="1F761673"/>
    <w:rsid w:val="1F8B4B21"/>
    <w:rsid w:val="1FA1E438"/>
    <w:rsid w:val="1FBAD9C4"/>
    <w:rsid w:val="1FE13614"/>
    <w:rsid w:val="1FFFD0B3"/>
    <w:rsid w:val="200496B6"/>
    <w:rsid w:val="20165B03"/>
    <w:rsid w:val="20557FBA"/>
    <w:rsid w:val="20626EBA"/>
    <w:rsid w:val="20794D08"/>
    <w:rsid w:val="207D8664"/>
    <w:rsid w:val="208203DC"/>
    <w:rsid w:val="208F42A4"/>
    <w:rsid w:val="20964ED9"/>
    <w:rsid w:val="20B38A4D"/>
    <w:rsid w:val="20B4539B"/>
    <w:rsid w:val="20BE1384"/>
    <w:rsid w:val="20C542C1"/>
    <w:rsid w:val="20C98C9B"/>
    <w:rsid w:val="20D83C9D"/>
    <w:rsid w:val="20FA523C"/>
    <w:rsid w:val="20FB8031"/>
    <w:rsid w:val="2106F642"/>
    <w:rsid w:val="210B0685"/>
    <w:rsid w:val="2142E6CC"/>
    <w:rsid w:val="2161A4FE"/>
    <w:rsid w:val="216BBC98"/>
    <w:rsid w:val="21D281A6"/>
    <w:rsid w:val="21F4D9B8"/>
    <w:rsid w:val="21F96758"/>
    <w:rsid w:val="221991CF"/>
    <w:rsid w:val="221A94CD"/>
    <w:rsid w:val="222216A7"/>
    <w:rsid w:val="2223F0C3"/>
    <w:rsid w:val="2238F4D8"/>
    <w:rsid w:val="223C269E"/>
    <w:rsid w:val="2273A15C"/>
    <w:rsid w:val="227FE405"/>
    <w:rsid w:val="2285C0AD"/>
    <w:rsid w:val="22AA2877"/>
    <w:rsid w:val="22B71312"/>
    <w:rsid w:val="22C4DAF4"/>
    <w:rsid w:val="22D8B114"/>
    <w:rsid w:val="22D9C629"/>
    <w:rsid w:val="22E72964"/>
    <w:rsid w:val="22EEE7C2"/>
    <w:rsid w:val="231A4E04"/>
    <w:rsid w:val="233C2C3A"/>
    <w:rsid w:val="236E878C"/>
    <w:rsid w:val="239B850E"/>
    <w:rsid w:val="23ACBEAD"/>
    <w:rsid w:val="23BEC14B"/>
    <w:rsid w:val="23C5036D"/>
    <w:rsid w:val="23C61B71"/>
    <w:rsid w:val="23D64C76"/>
    <w:rsid w:val="23E64114"/>
    <w:rsid w:val="2400A54B"/>
    <w:rsid w:val="24196E60"/>
    <w:rsid w:val="242F3353"/>
    <w:rsid w:val="2460F71C"/>
    <w:rsid w:val="246D34D3"/>
    <w:rsid w:val="2483DD04"/>
    <w:rsid w:val="249CEB70"/>
    <w:rsid w:val="24AD0541"/>
    <w:rsid w:val="24B0B432"/>
    <w:rsid w:val="24B0DA86"/>
    <w:rsid w:val="24B9FEBB"/>
    <w:rsid w:val="24E61044"/>
    <w:rsid w:val="24F2A2A6"/>
    <w:rsid w:val="24F3F217"/>
    <w:rsid w:val="25443A28"/>
    <w:rsid w:val="2557218C"/>
    <w:rsid w:val="255C73C9"/>
    <w:rsid w:val="25783020"/>
    <w:rsid w:val="257EB634"/>
    <w:rsid w:val="25820342"/>
    <w:rsid w:val="25896841"/>
    <w:rsid w:val="258E1CDB"/>
    <w:rsid w:val="25A48388"/>
    <w:rsid w:val="25C13874"/>
    <w:rsid w:val="25C533C9"/>
    <w:rsid w:val="25D622EF"/>
    <w:rsid w:val="25D93BBF"/>
    <w:rsid w:val="25FD2B64"/>
    <w:rsid w:val="26222425"/>
    <w:rsid w:val="26252959"/>
    <w:rsid w:val="263050C4"/>
    <w:rsid w:val="26396718"/>
    <w:rsid w:val="266798B1"/>
    <w:rsid w:val="2681EACA"/>
    <w:rsid w:val="2692A055"/>
    <w:rsid w:val="269FD778"/>
    <w:rsid w:val="26A21899"/>
    <w:rsid w:val="26A24535"/>
    <w:rsid w:val="26F568AD"/>
    <w:rsid w:val="26FA8F35"/>
    <w:rsid w:val="2732A4E7"/>
    <w:rsid w:val="27466B5B"/>
    <w:rsid w:val="277077D8"/>
    <w:rsid w:val="277FD428"/>
    <w:rsid w:val="27AFF9D3"/>
    <w:rsid w:val="27B12C58"/>
    <w:rsid w:val="27B65F61"/>
    <w:rsid w:val="27C35BF3"/>
    <w:rsid w:val="27CE97E5"/>
    <w:rsid w:val="27DB4AC8"/>
    <w:rsid w:val="27F23C1F"/>
    <w:rsid w:val="27F80CDC"/>
    <w:rsid w:val="281F8206"/>
    <w:rsid w:val="285804EC"/>
    <w:rsid w:val="2862A347"/>
    <w:rsid w:val="28654DFE"/>
    <w:rsid w:val="286E6D17"/>
    <w:rsid w:val="28B3229E"/>
    <w:rsid w:val="28BA9FD4"/>
    <w:rsid w:val="28CF3F91"/>
    <w:rsid w:val="290CF968"/>
    <w:rsid w:val="2925E191"/>
    <w:rsid w:val="2932F414"/>
    <w:rsid w:val="2959AB0C"/>
    <w:rsid w:val="29886098"/>
    <w:rsid w:val="29A16482"/>
    <w:rsid w:val="29A3CF72"/>
    <w:rsid w:val="29CA3059"/>
    <w:rsid w:val="29D3D592"/>
    <w:rsid w:val="29E65B71"/>
    <w:rsid w:val="29EEA9F5"/>
    <w:rsid w:val="29EECE23"/>
    <w:rsid w:val="29F958EA"/>
    <w:rsid w:val="2A1514A4"/>
    <w:rsid w:val="2A21CD78"/>
    <w:rsid w:val="2A285D08"/>
    <w:rsid w:val="2A454EA3"/>
    <w:rsid w:val="2A66613E"/>
    <w:rsid w:val="2A74A90A"/>
    <w:rsid w:val="2AA14CDF"/>
    <w:rsid w:val="2AF944AB"/>
    <w:rsid w:val="2B0A995D"/>
    <w:rsid w:val="2B0D2913"/>
    <w:rsid w:val="2B16DCB9"/>
    <w:rsid w:val="2B1BBB54"/>
    <w:rsid w:val="2B5D8A1A"/>
    <w:rsid w:val="2B8B3161"/>
    <w:rsid w:val="2B9B823F"/>
    <w:rsid w:val="2BA510BF"/>
    <w:rsid w:val="2BB7EAC0"/>
    <w:rsid w:val="2BE6AB40"/>
    <w:rsid w:val="2C04D012"/>
    <w:rsid w:val="2C06F949"/>
    <w:rsid w:val="2C0845F3"/>
    <w:rsid w:val="2C360B83"/>
    <w:rsid w:val="2C44F16E"/>
    <w:rsid w:val="2C7198A7"/>
    <w:rsid w:val="2C8F3A9A"/>
    <w:rsid w:val="2C964E50"/>
    <w:rsid w:val="2C9CD267"/>
    <w:rsid w:val="2CAA50A6"/>
    <w:rsid w:val="2CC029FF"/>
    <w:rsid w:val="2D0331E1"/>
    <w:rsid w:val="2D826615"/>
    <w:rsid w:val="2D9468C6"/>
    <w:rsid w:val="2DA5192C"/>
    <w:rsid w:val="2DC9D657"/>
    <w:rsid w:val="2DEE09B3"/>
    <w:rsid w:val="2DF685B1"/>
    <w:rsid w:val="2DFCABB8"/>
    <w:rsid w:val="2DFF3B6E"/>
    <w:rsid w:val="2E0C2BBA"/>
    <w:rsid w:val="2E14068F"/>
    <w:rsid w:val="2E17FFE7"/>
    <w:rsid w:val="2E3F5BD3"/>
    <w:rsid w:val="2E5291CD"/>
    <w:rsid w:val="2E590C84"/>
    <w:rsid w:val="2E5DCB90"/>
    <w:rsid w:val="2E6E9ADD"/>
    <w:rsid w:val="2E8284A7"/>
    <w:rsid w:val="2E857C8F"/>
    <w:rsid w:val="2EA4EF8D"/>
    <w:rsid w:val="2EAAF848"/>
    <w:rsid w:val="2ED36828"/>
    <w:rsid w:val="2ED73B3C"/>
    <w:rsid w:val="2ED7DDC6"/>
    <w:rsid w:val="2EEA7A5E"/>
    <w:rsid w:val="2EF1B691"/>
    <w:rsid w:val="2F123C0A"/>
    <w:rsid w:val="2F278F5A"/>
    <w:rsid w:val="2F2BC105"/>
    <w:rsid w:val="2F63AB02"/>
    <w:rsid w:val="2F9B7C09"/>
    <w:rsid w:val="2FB70902"/>
    <w:rsid w:val="2FF30E95"/>
    <w:rsid w:val="30057665"/>
    <w:rsid w:val="30076252"/>
    <w:rsid w:val="3009F208"/>
    <w:rsid w:val="300CDAC7"/>
    <w:rsid w:val="303BE9B9"/>
    <w:rsid w:val="303C2C76"/>
    <w:rsid w:val="304139F5"/>
    <w:rsid w:val="306395A3"/>
    <w:rsid w:val="306E13DF"/>
    <w:rsid w:val="308A157C"/>
    <w:rsid w:val="30C32013"/>
    <w:rsid w:val="30F0847B"/>
    <w:rsid w:val="30F82555"/>
    <w:rsid w:val="31016543"/>
    <w:rsid w:val="31A161B3"/>
    <w:rsid w:val="31AB7794"/>
    <w:rsid w:val="31CF4DF1"/>
    <w:rsid w:val="31D28A89"/>
    <w:rsid w:val="31D7063B"/>
    <w:rsid w:val="31DDC0AF"/>
    <w:rsid w:val="31EE4628"/>
    <w:rsid w:val="31FC18A2"/>
    <w:rsid w:val="3203176C"/>
    <w:rsid w:val="321B10D9"/>
    <w:rsid w:val="323C4A34"/>
    <w:rsid w:val="3255BD5D"/>
    <w:rsid w:val="32765C0B"/>
    <w:rsid w:val="32ADCF4F"/>
    <w:rsid w:val="32C1D955"/>
    <w:rsid w:val="330B6B6F"/>
    <w:rsid w:val="33116E1A"/>
    <w:rsid w:val="331430A1"/>
    <w:rsid w:val="331E7B0C"/>
    <w:rsid w:val="332F75AF"/>
    <w:rsid w:val="33633F2A"/>
    <w:rsid w:val="337B2880"/>
    <w:rsid w:val="33982A32"/>
    <w:rsid w:val="3399AF6B"/>
    <w:rsid w:val="33AADDDD"/>
    <w:rsid w:val="33B892D1"/>
    <w:rsid w:val="33BFFCB5"/>
    <w:rsid w:val="33E296D6"/>
    <w:rsid w:val="33F11E73"/>
    <w:rsid w:val="34083F45"/>
    <w:rsid w:val="3413F27D"/>
    <w:rsid w:val="34278DC5"/>
    <w:rsid w:val="3427A48A"/>
    <w:rsid w:val="342F9441"/>
    <w:rsid w:val="3433DA27"/>
    <w:rsid w:val="3435D3D3"/>
    <w:rsid w:val="3439D340"/>
    <w:rsid w:val="343DC0CA"/>
    <w:rsid w:val="3464A28A"/>
    <w:rsid w:val="3479102D"/>
    <w:rsid w:val="348FC784"/>
    <w:rsid w:val="34CCBF2B"/>
    <w:rsid w:val="34D755E8"/>
    <w:rsid w:val="34EB44FE"/>
    <w:rsid w:val="356B6625"/>
    <w:rsid w:val="357FA0BF"/>
    <w:rsid w:val="359CA02C"/>
    <w:rsid w:val="35ABA222"/>
    <w:rsid w:val="35EF3B87"/>
    <w:rsid w:val="35FE2451"/>
    <w:rsid w:val="3600F208"/>
    <w:rsid w:val="362D4E38"/>
    <w:rsid w:val="367B3101"/>
    <w:rsid w:val="3687C0BD"/>
    <w:rsid w:val="369B3730"/>
    <w:rsid w:val="36D9F337"/>
    <w:rsid w:val="36E81347"/>
    <w:rsid w:val="36FA3F71"/>
    <w:rsid w:val="370BC1BB"/>
    <w:rsid w:val="371ADE78"/>
    <w:rsid w:val="372359FD"/>
    <w:rsid w:val="378BEE20"/>
    <w:rsid w:val="37B831B7"/>
    <w:rsid w:val="37F46E37"/>
    <w:rsid w:val="37F7E7DE"/>
    <w:rsid w:val="37FB5EEE"/>
    <w:rsid w:val="37FDBBD3"/>
    <w:rsid w:val="380B9DA6"/>
    <w:rsid w:val="3810736B"/>
    <w:rsid w:val="382CCB84"/>
    <w:rsid w:val="382E60D7"/>
    <w:rsid w:val="382EF52F"/>
    <w:rsid w:val="3840E749"/>
    <w:rsid w:val="384FC4CF"/>
    <w:rsid w:val="38641371"/>
    <w:rsid w:val="386F7D73"/>
    <w:rsid w:val="38A0E7AE"/>
    <w:rsid w:val="38A8D78F"/>
    <w:rsid w:val="38D42884"/>
    <w:rsid w:val="390042DD"/>
    <w:rsid w:val="3930A7B9"/>
    <w:rsid w:val="3940446D"/>
    <w:rsid w:val="39565BAD"/>
    <w:rsid w:val="39604C09"/>
    <w:rsid w:val="3966780B"/>
    <w:rsid w:val="396CF359"/>
    <w:rsid w:val="3976D2DA"/>
    <w:rsid w:val="3985E937"/>
    <w:rsid w:val="3987F95E"/>
    <w:rsid w:val="39B5AEA3"/>
    <w:rsid w:val="39C92E89"/>
    <w:rsid w:val="39E772BE"/>
    <w:rsid w:val="3A110C8B"/>
    <w:rsid w:val="3A45E500"/>
    <w:rsid w:val="3A4BBCCF"/>
    <w:rsid w:val="3A52BB99"/>
    <w:rsid w:val="3A6D44BC"/>
    <w:rsid w:val="3A803381"/>
    <w:rsid w:val="3A8D9AEE"/>
    <w:rsid w:val="3A8E8B5D"/>
    <w:rsid w:val="3ACF69B4"/>
    <w:rsid w:val="3AD22C3B"/>
    <w:rsid w:val="3AEFCE2E"/>
    <w:rsid w:val="3B1E4CE7"/>
    <w:rsid w:val="3B27DC87"/>
    <w:rsid w:val="3B36572F"/>
    <w:rsid w:val="3B37B342"/>
    <w:rsid w:val="3B42977A"/>
    <w:rsid w:val="3B5EEC8F"/>
    <w:rsid w:val="3B60DF76"/>
    <w:rsid w:val="3B676802"/>
    <w:rsid w:val="3B83234E"/>
    <w:rsid w:val="3B886392"/>
    <w:rsid w:val="3B9DAC71"/>
    <w:rsid w:val="3BCADCC4"/>
    <w:rsid w:val="3BCF2484"/>
    <w:rsid w:val="3C0D2A0C"/>
    <w:rsid w:val="3C224812"/>
    <w:rsid w:val="3C232B3B"/>
    <w:rsid w:val="3C3A0EAE"/>
    <w:rsid w:val="3C5E778D"/>
    <w:rsid w:val="3C626F42"/>
    <w:rsid w:val="3C6DE373"/>
    <w:rsid w:val="3C7C75E7"/>
    <w:rsid w:val="3CB5E7E8"/>
    <w:rsid w:val="3CE22D41"/>
    <w:rsid w:val="3CE4DB00"/>
    <w:rsid w:val="3CECC411"/>
    <w:rsid w:val="3D1DB9A1"/>
    <w:rsid w:val="3D3DCF2A"/>
    <w:rsid w:val="3D4FBA6F"/>
    <w:rsid w:val="3D53C4C6"/>
    <w:rsid w:val="3D55C897"/>
    <w:rsid w:val="3D63D1A8"/>
    <w:rsid w:val="3D8C5499"/>
    <w:rsid w:val="3D91F5E4"/>
    <w:rsid w:val="3D965720"/>
    <w:rsid w:val="3D973381"/>
    <w:rsid w:val="3DAD8D09"/>
    <w:rsid w:val="3DC110C4"/>
    <w:rsid w:val="3DCEEC6B"/>
    <w:rsid w:val="3DD55C22"/>
    <w:rsid w:val="3DE687EB"/>
    <w:rsid w:val="3DEFF52D"/>
    <w:rsid w:val="3E0691F2"/>
    <w:rsid w:val="3E2244EC"/>
    <w:rsid w:val="3E24C247"/>
    <w:rsid w:val="3E24D4A2"/>
    <w:rsid w:val="3E27F835"/>
    <w:rsid w:val="3E2C3548"/>
    <w:rsid w:val="3E3F03B6"/>
    <w:rsid w:val="3E69CB91"/>
    <w:rsid w:val="3E83FAA5"/>
    <w:rsid w:val="3E8CFC45"/>
    <w:rsid w:val="3EA6435A"/>
    <w:rsid w:val="3EB3DF41"/>
    <w:rsid w:val="3EC537D9"/>
    <w:rsid w:val="3EDFBC11"/>
    <w:rsid w:val="3EE54ABC"/>
    <w:rsid w:val="3EEC718D"/>
    <w:rsid w:val="3EF14A72"/>
    <w:rsid w:val="3EFF79D0"/>
    <w:rsid w:val="3F1034C3"/>
    <w:rsid w:val="3F443356"/>
    <w:rsid w:val="3F800D07"/>
    <w:rsid w:val="3FBBC1CA"/>
    <w:rsid w:val="3FE42263"/>
    <w:rsid w:val="3FF64894"/>
    <w:rsid w:val="3FF8F5C2"/>
    <w:rsid w:val="4002E403"/>
    <w:rsid w:val="402FFDC9"/>
    <w:rsid w:val="4053AF96"/>
    <w:rsid w:val="407A2AB1"/>
    <w:rsid w:val="407ECC96"/>
    <w:rsid w:val="40A1D5F6"/>
    <w:rsid w:val="40B07B80"/>
    <w:rsid w:val="40CD0373"/>
    <w:rsid w:val="40D93604"/>
    <w:rsid w:val="4102A634"/>
    <w:rsid w:val="410B8CF8"/>
    <w:rsid w:val="410D8D88"/>
    <w:rsid w:val="411E47A3"/>
    <w:rsid w:val="41211E98"/>
    <w:rsid w:val="412A73EE"/>
    <w:rsid w:val="41416F5B"/>
    <w:rsid w:val="415B7945"/>
    <w:rsid w:val="4168B160"/>
    <w:rsid w:val="416FE5E2"/>
    <w:rsid w:val="41806FC0"/>
    <w:rsid w:val="418618E7"/>
    <w:rsid w:val="41C25902"/>
    <w:rsid w:val="42139B10"/>
    <w:rsid w:val="421E6635"/>
    <w:rsid w:val="4236B5EB"/>
    <w:rsid w:val="4239AB43"/>
    <w:rsid w:val="42773374"/>
    <w:rsid w:val="429027D5"/>
    <w:rsid w:val="429A7240"/>
    <w:rsid w:val="42A72A14"/>
    <w:rsid w:val="42D5389F"/>
    <w:rsid w:val="42DF28FB"/>
    <w:rsid w:val="42E1B5FA"/>
    <w:rsid w:val="4339C9D5"/>
    <w:rsid w:val="43C20830"/>
    <w:rsid w:val="43F433BA"/>
    <w:rsid w:val="43FAADD4"/>
    <w:rsid w:val="440D1EE8"/>
    <w:rsid w:val="440E5728"/>
    <w:rsid w:val="443CD125"/>
    <w:rsid w:val="4451841E"/>
    <w:rsid w:val="4464C28B"/>
    <w:rsid w:val="449E76C8"/>
    <w:rsid w:val="44A4092D"/>
    <w:rsid w:val="44E53207"/>
    <w:rsid w:val="44E6C6AF"/>
    <w:rsid w:val="44FCEF1C"/>
    <w:rsid w:val="4535D585"/>
    <w:rsid w:val="454191D9"/>
    <w:rsid w:val="455DC384"/>
    <w:rsid w:val="456D3797"/>
    <w:rsid w:val="45774DB5"/>
    <w:rsid w:val="4587D498"/>
    <w:rsid w:val="45C2847F"/>
    <w:rsid w:val="45C34E08"/>
    <w:rsid w:val="45D23775"/>
    <w:rsid w:val="45D9363F"/>
    <w:rsid w:val="45EE3A54"/>
    <w:rsid w:val="461FF837"/>
    <w:rsid w:val="4637DEA5"/>
    <w:rsid w:val="4670D31F"/>
    <w:rsid w:val="4675BEBA"/>
    <w:rsid w:val="468E4241"/>
    <w:rsid w:val="46A77AE2"/>
    <w:rsid w:val="46B09F0F"/>
    <w:rsid w:val="46D33930"/>
    <w:rsid w:val="46F1A487"/>
    <w:rsid w:val="46F6A34B"/>
    <w:rsid w:val="47007A99"/>
    <w:rsid w:val="471107B6"/>
    <w:rsid w:val="47281775"/>
    <w:rsid w:val="4795376F"/>
    <w:rsid w:val="47A64694"/>
    <w:rsid w:val="47B30D23"/>
    <w:rsid w:val="47B59CD9"/>
    <w:rsid w:val="47B66B7E"/>
    <w:rsid w:val="4808647E"/>
    <w:rsid w:val="48235507"/>
    <w:rsid w:val="4840DD1F"/>
    <w:rsid w:val="4846081E"/>
    <w:rsid w:val="484E4BA1"/>
    <w:rsid w:val="48527FA9"/>
    <w:rsid w:val="487D1D3A"/>
    <w:rsid w:val="489A62C9"/>
    <w:rsid w:val="489DDB4D"/>
    <w:rsid w:val="48BE02D6"/>
    <w:rsid w:val="48F1467C"/>
    <w:rsid w:val="491D43FF"/>
    <w:rsid w:val="49227558"/>
    <w:rsid w:val="492838F6"/>
    <w:rsid w:val="492AFB7D"/>
    <w:rsid w:val="495A645E"/>
    <w:rsid w:val="495E7666"/>
    <w:rsid w:val="496B0388"/>
    <w:rsid w:val="497048B5"/>
    <w:rsid w:val="4990B684"/>
    <w:rsid w:val="49973A4F"/>
    <w:rsid w:val="49B17666"/>
    <w:rsid w:val="49D84CCA"/>
    <w:rsid w:val="49DFFB3C"/>
    <w:rsid w:val="49F5E075"/>
    <w:rsid w:val="4A1171F6"/>
    <w:rsid w:val="4A3FE9BA"/>
    <w:rsid w:val="4A4CDC84"/>
    <w:rsid w:val="4A4E3D4A"/>
    <w:rsid w:val="4A56F41E"/>
    <w:rsid w:val="4A786DD9"/>
    <w:rsid w:val="4A8D2611"/>
    <w:rsid w:val="4A9AA242"/>
    <w:rsid w:val="4AA74DE2"/>
    <w:rsid w:val="4AAA6F76"/>
    <w:rsid w:val="4AB324C9"/>
    <w:rsid w:val="4AB429CC"/>
    <w:rsid w:val="4AD45964"/>
    <w:rsid w:val="4AF120B4"/>
    <w:rsid w:val="4B07B860"/>
    <w:rsid w:val="4B0B8E0B"/>
    <w:rsid w:val="4B139EA9"/>
    <w:rsid w:val="4B6376EE"/>
    <w:rsid w:val="4B748D65"/>
    <w:rsid w:val="4BACA500"/>
    <w:rsid w:val="4BB1FA14"/>
    <w:rsid w:val="4BB98454"/>
    <w:rsid w:val="4BC4653C"/>
    <w:rsid w:val="4C192B84"/>
    <w:rsid w:val="4C240EA6"/>
    <w:rsid w:val="4C2BFB2A"/>
    <w:rsid w:val="4C391950"/>
    <w:rsid w:val="4C40420E"/>
    <w:rsid w:val="4C5D95B3"/>
    <w:rsid w:val="4C625B10"/>
    <w:rsid w:val="4C64478E"/>
    <w:rsid w:val="4C819887"/>
    <w:rsid w:val="4C82D880"/>
    <w:rsid w:val="4C8C0B96"/>
    <w:rsid w:val="4C9F974A"/>
    <w:rsid w:val="4CABC113"/>
    <w:rsid w:val="4CB9A2E6"/>
    <w:rsid w:val="4CBF189B"/>
    <w:rsid w:val="4CCCD5B4"/>
    <w:rsid w:val="4CD1F29C"/>
    <w:rsid w:val="4CD3E8CA"/>
    <w:rsid w:val="4CE28B63"/>
    <w:rsid w:val="4D34670B"/>
    <w:rsid w:val="4D3EEEDF"/>
    <w:rsid w:val="4D430649"/>
    <w:rsid w:val="4D8CE76E"/>
    <w:rsid w:val="4D9BD027"/>
    <w:rsid w:val="4DB1EDCD"/>
    <w:rsid w:val="4DD248F0"/>
    <w:rsid w:val="4DDB279F"/>
    <w:rsid w:val="4E022780"/>
    <w:rsid w:val="4E0CF997"/>
    <w:rsid w:val="4E230D9C"/>
    <w:rsid w:val="4E5F3F1A"/>
    <w:rsid w:val="4EA84B0E"/>
    <w:rsid w:val="4EAFA021"/>
    <w:rsid w:val="4EF15E56"/>
    <w:rsid w:val="4F2E1A54"/>
    <w:rsid w:val="4F51BA3D"/>
    <w:rsid w:val="4F67DBF2"/>
    <w:rsid w:val="4F6A09F3"/>
    <w:rsid w:val="4F7E8099"/>
    <w:rsid w:val="4FF35374"/>
    <w:rsid w:val="4FF5BA37"/>
    <w:rsid w:val="501128CF"/>
    <w:rsid w:val="503D814C"/>
    <w:rsid w:val="5057B426"/>
    <w:rsid w:val="506D7426"/>
    <w:rsid w:val="507BFED7"/>
    <w:rsid w:val="507E0CED"/>
    <w:rsid w:val="50904E7B"/>
    <w:rsid w:val="50980930"/>
    <w:rsid w:val="50E63490"/>
    <w:rsid w:val="50F55E33"/>
    <w:rsid w:val="51137DC3"/>
    <w:rsid w:val="5113BB2C"/>
    <w:rsid w:val="5134389C"/>
    <w:rsid w:val="5142F21B"/>
    <w:rsid w:val="516A9D60"/>
    <w:rsid w:val="5177AA52"/>
    <w:rsid w:val="518CE138"/>
    <w:rsid w:val="51DAE544"/>
    <w:rsid w:val="51DF3099"/>
    <w:rsid w:val="51ECB793"/>
    <w:rsid w:val="521078E4"/>
    <w:rsid w:val="522DE544"/>
    <w:rsid w:val="52359FF9"/>
    <w:rsid w:val="524571D1"/>
    <w:rsid w:val="527835ED"/>
    <w:rsid w:val="527B1485"/>
    <w:rsid w:val="5287A90F"/>
    <w:rsid w:val="52BA3AB4"/>
    <w:rsid w:val="52CC33BC"/>
    <w:rsid w:val="52D6E9EB"/>
    <w:rsid w:val="52E9F77D"/>
    <w:rsid w:val="5308E481"/>
    <w:rsid w:val="533288FF"/>
    <w:rsid w:val="534A1211"/>
    <w:rsid w:val="535D82B0"/>
    <w:rsid w:val="536FDD5F"/>
    <w:rsid w:val="5374344D"/>
    <w:rsid w:val="53803596"/>
    <w:rsid w:val="5396A153"/>
    <w:rsid w:val="53C31005"/>
    <w:rsid w:val="53C757C5"/>
    <w:rsid w:val="53D9A51D"/>
    <w:rsid w:val="53F9B317"/>
    <w:rsid w:val="5404D168"/>
    <w:rsid w:val="5435F332"/>
    <w:rsid w:val="5436B17E"/>
    <w:rsid w:val="54704FA6"/>
    <w:rsid w:val="54708C1A"/>
    <w:rsid w:val="54749911"/>
    <w:rsid w:val="547D1435"/>
    <w:rsid w:val="548C6FC4"/>
    <w:rsid w:val="54DA0491"/>
    <w:rsid w:val="55213127"/>
    <w:rsid w:val="55375994"/>
    <w:rsid w:val="554E2EA9"/>
    <w:rsid w:val="55552D73"/>
    <w:rsid w:val="5572DAF9"/>
    <w:rsid w:val="557AD5E2"/>
    <w:rsid w:val="558E603B"/>
    <w:rsid w:val="55942A40"/>
    <w:rsid w:val="55A7D364"/>
    <w:rsid w:val="55E18BD1"/>
    <w:rsid w:val="55E6D606"/>
    <w:rsid w:val="560DCEE5"/>
    <w:rsid w:val="563E1642"/>
    <w:rsid w:val="564D1526"/>
    <w:rsid w:val="5658CA77"/>
    <w:rsid w:val="566646A8"/>
    <w:rsid w:val="56818BB6"/>
    <w:rsid w:val="568C9B4B"/>
    <w:rsid w:val="56AF29AC"/>
    <w:rsid w:val="56BCF05C"/>
    <w:rsid w:val="56C4BC09"/>
    <w:rsid w:val="56DD5FF0"/>
    <w:rsid w:val="56EFBE1C"/>
    <w:rsid w:val="57235926"/>
    <w:rsid w:val="57771416"/>
    <w:rsid w:val="57C07E0C"/>
    <w:rsid w:val="58296BEF"/>
    <w:rsid w:val="582B6FC0"/>
    <w:rsid w:val="5837585A"/>
    <w:rsid w:val="5837952B"/>
    <w:rsid w:val="587330F4"/>
    <w:rsid w:val="588AEC3D"/>
    <w:rsid w:val="58A08781"/>
    <w:rsid w:val="58A13502"/>
    <w:rsid w:val="58A2E844"/>
    <w:rsid w:val="58C2A6FE"/>
    <w:rsid w:val="58D8E861"/>
    <w:rsid w:val="591F6489"/>
    <w:rsid w:val="5928CBCB"/>
    <w:rsid w:val="59585903"/>
    <w:rsid w:val="5958B7D5"/>
    <w:rsid w:val="59739E11"/>
    <w:rsid w:val="59840F9A"/>
    <w:rsid w:val="599F89EE"/>
    <w:rsid w:val="59AD42E3"/>
    <w:rsid w:val="59BC2B6D"/>
    <w:rsid w:val="59E730A3"/>
    <w:rsid w:val="59E9A8C1"/>
    <w:rsid w:val="59EEE07D"/>
    <w:rsid w:val="5A0C3FF7"/>
    <w:rsid w:val="5A12B742"/>
    <w:rsid w:val="5A2116B2"/>
    <w:rsid w:val="5A260082"/>
    <w:rsid w:val="5AA7DC4D"/>
    <w:rsid w:val="5AA9327E"/>
    <w:rsid w:val="5AA95803"/>
    <w:rsid w:val="5ABDC4A0"/>
    <w:rsid w:val="5AD53F8B"/>
    <w:rsid w:val="5AF74A64"/>
    <w:rsid w:val="5B2A0F11"/>
    <w:rsid w:val="5B322FE7"/>
    <w:rsid w:val="5B59E207"/>
    <w:rsid w:val="5B8C0E44"/>
    <w:rsid w:val="5BB62978"/>
    <w:rsid w:val="5BC66504"/>
    <w:rsid w:val="5BE4D20A"/>
    <w:rsid w:val="5BF0A640"/>
    <w:rsid w:val="5BFAED96"/>
    <w:rsid w:val="5C093C1A"/>
    <w:rsid w:val="5C255600"/>
    <w:rsid w:val="5C263E8B"/>
    <w:rsid w:val="5C2676AE"/>
    <w:rsid w:val="5C425E2E"/>
    <w:rsid w:val="5C43E856"/>
    <w:rsid w:val="5C98002B"/>
    <w:rsid w:val="5CB23645"/>
    <w:rsid w:val="5CCFEA28"/>
    <w:rsid w:val="5CD7A4DD"/>
    <w:rsid w:val="5CFD0F07"/>
    <w:rsid w:val="5D04004F"/>
    <w:rsid w:val="5D065AB7"/>
    <w:rsid w:val="5D10D16C"/>
    <w:rsid w:val="5D114E2F"/>
    <w:rsid w:val="5D18C1D3"/>
    <w:rsid w:val="5D431BE7"/>
    <w:rsid w:val="5D4CC07C"/>
    <w:rsid w:val="5D4F1E5C"/>
    <w:rsid w:val="5D55723A"/>
    <w:rsid w:val="5D8B1EA0"/>
    <w:rsid w:val="5D8D2F77"/>
    <w:rsid w:val="5D9B6A5E"/>
    <w:rsid w:val="5DAF310B"/>
    <w:rsid w:val="5DB268F5"/>
    <w:rsid w:val="5DDA6D00"/>
    <w:rsid w:val="5E0C48D5"/>
    <w:rsid w:val="5E244242"/>
    <w:rsid w:val="5E25A0AC"/>
    <w:rsid w:val="5E293881"/>
    <w:rsid w:val="5E42156C"/>
    <w:rsid w:val="5E51739F"/>
    <w:rsid w:val="5E5E4CB6"/>
    <w:rsid w:val="5E7E8185"/>
    <w:rsid w:val="5EA15DA5"/>
    <w:rsid w:val="5EAE3020"/>
    <w:rsid w:val="5EBA5C9E"/>
    <w:rsid w:val="5EBB23FB"/>
    <w:rsid w:val="5EC38B8F"/>
    <w:rsid w:val="5EC85940"/>
    <w:rsid w:val="5EEFC278"/>
    <w:rsid w:val="5F12FEA9"/>
    <w:rsid w:val="5F27AC75"/>
    <w:rsid w:val="5F4A4795"/>
    <w:rsid w:val="5F4EB946"/>
    <w:rsid w:val="5F70FBC5"/>
    <w:rsid w:val="5F8AE12C"/>
    <w:rsid w:val="5F8D9F56"/>
    <w:rsid w:val="5FBC6DD8"/>
    <w:rsid w:val="5FF0D13F"/>
    <w:rsid w:val="5FFE1926"/>
    <w:rsid w:val="602A0193"/>
    <w:rsid w:val="60545AE8"/>
    <w:rsid w:val="6065211C"/>
    <w:rsid w:val="606DFB68"/>
    <w:rsid w:val="608004B2"/>
    <w:rsid w:val="608FE531"/>
    <w:rsid w:val="60A5DACD"/>
    <w:rsid w:val="60FD461B"/>
    <w:rsid w:val="614137CD"/>
    <w:rsid w:val="6144CBA8"/>
    <w:rsid w:val="6148E7C8"/>
    <w:rsid w:val="615262E2"/>
    <w:rsid w:val="617E4B4F"/>
    <w:rsid w:val="617E805C"/>
    <w:rsid w:val="6186411F"/>
    <w:rsid w:val="618A33E9"/>
    <w:rsid w:val="61D4C7E1"/>
    <w:rsid w:val="61EBD4E6"/>
    <w:rsid w:val="6202A485"/>
    <w:rsid w:val="620A6341"/>
    <w:rsid w:val="6218DC1C"/>
    <w:rsid w:val="624C26F5"/>
    <w:rsid w:val="6267539D"/>
    <w:rsid w:val="627E3710"/>
    <w:rsid w:val="6288B44C"/>
    <w:rsid w:val="629686C6"/>
    <w:rsid w:val="62A8720B"/>
    <w:rsid w:val="62B556BC"/>
    <w:rsid w:val="631913FE"/>
    <w:rsid w:val="631B07B4"/>
    <w:rsid w:val="631DF644"/>
    <w:rsid w:val="6346B57D"/>
    <w:rsid w:val="636BF758"/>
    <w:rsid w:val="637CB8F5"/>
    <w:rsid w:val="63809EE5"/>
    <w:rsid w:val="63A56761"/>
    <w:rsid w:val="63BCB4A2"/>
    <w:rsid w:val="63D07CFB"/>
    <w:rsid w:val="63E6C9F3"/>
    <w:rsid w:val="63EEF3CF"/>
    <w:rsid w:val="63F395B4"/>
    <w:rsid w:val="640A0161"/>
    <w:rsid w:val="6412712F"/>
    <w:rsid w:val="6455189C"/>
    <w:rsid w:val="645A1501"/>
    <w:rsid w:val="64893E20"/>
    <w:rsid w:val="649715F1"/>
    <w:rsid w:val="649D5B2C"/>
    <w:rsid w:val="64AB643D"/>
    <w:rsid w:val="64BC5363"/>
    <w:rsid w:val="64C4A672"/>
    <w:rsid w:val="64F05F2B"/>
    <w:rsid w:val="65104124"/>
    <w:rsid w:val="6510EDCC"/>
    <w:rsid w:val="6522ADDD"/>
    <w:rsid w:val="6525DCE6"/>
    <w:rsid w:val="6560A403"/>
    <w:rsid w:val="657408C6"/>
    <w:rsid w:val="65A0C55F"/>
    <w:rsid w:val="65A136FB"/>
    <w:rsid w:val="65CAAA11"/>
    <w:rsid w:val="65D0AB6F"/>
    <w:rsid w:val="65ECC603"/>
    <w:rsid w:val="66182EF9"/>
    <w:rsid w:val="6621E1EE"/>
    <w:rsid w:val="6633C16A"/>
    <w:rsid w:val="66398FEB"/>
    <w:rsid w:val="664A348E"/>
    <w:rsid w:val="6662EA4F"/>
    <w:rsid w:val="66A12F2B"/>
    <w:rsid w:val="66C795D1"/>
    <w:rsid w:val="66CA916B"/>
    <w:rsid w:val="66CC998D"/>
    <w:rsid w:val="66E2DF3A"/>
    <w:rsid w:val="66E3D211"/>
    <w:rsid w:val="66E5BCCD"/>
    <w:rsid w:val="66ED62C4"/>
    <w:rsid w:val="6700ED1D"/>
    <w:rsid w:val="6704994F"/>
    <w:rsid w:val="671D7916"/>
    <w:rsid w:val="674A7698"/>
    <w:rsid w:val="674FAF62"/>
    <w:rsid w:val="67531C40"/>
    <w:rsid w:val="6757B65B"/>
    <w:rsid w:val="67587FA9"/>
    <w:rsid w:val="67634FD7"/>
    <w:rsid w:val="6765AE8C"/>
    <w:rsid w:val="6769A1A0"/>
    <w:rsid w:val="676AC992"/>
    <w:rsid w:val="678A4383"/>
    <w:rsid w:val="678ED943"/>
    <w:rsid w:val="6794BFC4"/>
    <w:rsid w:val="6798D2E4"/>
    <w:rsid w:val="6798ED4A"/>
    <w:rsid w:val="679FAC3F"/>
    <w:rsid w:val="67B12845"/>
    <w:rsid w:val="67D2D519"/>
    <w:rsid w:val="67D9B6B3"/>
    <w:rsid w:val="67E62633"/>
    <w:rsid w:val="680C1B80"/>
    <w:rsid w:val="68170EE5"/>
    <w:rsid w:val="6837A32E"/>
    <w:rsid w:val="6838DCB6"/>
    <w:rsid w:val="684AFACC"/>
    <w:rsid w:val="684E8DB3"/>
    <w:rsid w:val="68501A38"/>
    <w:rsid w:val="68628E97"/>
    <w:rsid w:val="686FF1D2"/>
    <w:rsid w:val="68A3F150"/>
    <w:rsid w:val="68A60BCA"/>
    <w:rsid w:val="691FECC6"/>
    <w:rsid w:val="69244D7C"/>
    <w:rsid w:val="693C46E9"/>
    <w:rsid w:val="6946F346"/>
    <w:rsid w:val="6974DCC6"/>
    <w:rsid w:val="698EC60E"/>
    <w:rsid w:val="69C81502"/>
    <w:rsid w:val="69CD00C0"/>
    <w:rsid w:val="69E05848"/>
    <w:rsid w:val="69F41B18"/>
    <w:rsid w:val="6A06A292"/>
    <w:rsid w:val="6A2E89D2"/>
    <w:rsid w:val="6A42E8AE"/>
    <w:rsid w:val="6A5B812A"/>
    <w:rsid w:val="6A718431"/>
    <w:rsid w:val="6A7AE942"/>
    <w:rsid w:val="6A8908C1"/>
    <w:rsid w:val="6A8DBBF6"/>
    <w:rsid w:val="6A9ADD6E"/>
    <w:rsid w:val="6AA51D4E"/>
    <w:rsid w:val="6AAC2445"/>
    <w:rsid w:val="6AF6C780"/>
    <w:rsid w:val="6B273ABB"/>
    <w:rsid w:val="6B550694"/>
    <w:rsid w:val="6B6ABB01"/>
    <w:rsid w:val="6B725ACC"/>
    <w:rsid w:val="6B7575A6"/>
    <w:rsid w:val="6B981E25"/>
    <w:rsid w:val="6BA6AB01"/>
    <w:rsid w:val="6BB0BBE8"/>
    <w:rsid w:val="6BB1914E"/>
    <w:rsid w:val="6C037069"/>
    <w:rsid w:val="6C048F7C"/>
    <w:rsid w:val="6C2468E8"/>
    <w:rsid w:val="6C262F50"/>
    <w:rsid w:val="6C2E2F5E"/>
    <w:rsid w:val="6C501402"/>
    <w:rsid w:val="6C584E1B"/>
    <w:rsid w:val="6C6A2B63"/>
    <w:rsid w:val="6C781486"/>
    <w:rsid w:val="6C8B49A0"/>
    <w:rsid w:val="6C9477B2"/>
    <w:rsid w:val="6CE4573F"/>
    <w:rsid w:val="6CE511D3"/>
    <w:rsid w:val="6CEA96E1"/>
    <w:rsid w:val="6CEC8F1F"/>
    <w:rsid w:val="6CED4F38"/>
    <w:rsid w:val="6CEEA334"/>
    <w:rsid w:val="6D03B9D5"/>
    <w:rsid w:val="6D2A62D1"/>
    <w:rsid w:val="6D6BC78C"/>
    <w:rsid w:val="6D788E15"/>
    <w:rsid w:val="6D9EF28B"/>
    <w:rsid w:val="6E0C399A"/>
    <w:rsid w:val="6E389622"/>
    <w:rsid w:val="6E3FCC64"/>
    <w:rsid w:val="6E4FAD54"/>
    <w:rsid w:val="6E6BB9AC"/>
    <w:rsid w:val="6E6F964D"/>
    <w:rsid w:val="6E71775E"/>
    <w:rsid w:val="6E80BDC1"/>
    <w:rsid w:val="6E860D33"/>
    <w:rsid w:val="6EA0971E"/>
    <w:rsid w:val="6EB1F95A"/>
    <w:rsid w:val="6EF0227C"/>
    <w:rsid w:val="6F208523"/>
    <w:rsid w:val="6F358205"/>
    <w:rsid w:val="6F38C13C"/>
    <w:rsid w:val="6F6472F9"/>
    <w:rsid w:val="6F6C6158"/>
    <w:rsid w:val="6F6E86EA"/>
    <w:rsid w:val="6F7A0B9C"/>
    <w:rsid w:val="6F7DA070"/>
    <w:rsid w:val="6F7FB8E0"/>
    <w:rsid w:val="6F9197C8"/>
    <w:rsid w:val="6F91B4DB"/>
    <w:rsid w:val="6FB912FC"/>
    <w:rsid w:val="6FBBF8FB"/>
    <w:rsid w:val="6FD77E3D"/>
    <w:rsid w:val="70050344"/>
    <w:rsid w:val="709B2718"/>
    <w:rsid w:val="70BEB977"/>
    <w:rsid w:val="70CF4475"/>
    <w:rsid w:val="70E24916"/>
    <w:rsid w:val="7133FDDC"/>
    <w:rsid w:val="713BEDD1"/>
    <w:rsid w:val="714797F9"/>
    <w:rsid w:val="71687AA3"/>
    <w:rsid w:val="7195CFDF"/>
    <w:rsid w:val="71AEC56B"/>
    <w:rsid w:val="71B8B5C7"/>
    <w:rsid w:val="71BF6D11"/>
    <w:rsid w:val="71E06A61"/>
    <w:rsid w:val="71FA6115"/>
    <w:rsid w:val="7201B628"/>
    <w:rsid w:val="72090D2B"/>
    <w:rsid w:val="721C2F31"/>
    <w:rsid w:val="723AB61F"/>
    <w:rsid w:val="724D848D"/>
    <w:rsid w:val="726E3E71"/>
    <w:rsid w:val="7271CA31"/>
    <w:rsid w:val="728D1960"/>
    <w:rsid w:val="728DE8F0"/>
    <w:rsid w:val="7296B378"/>
    <w:rsid w:val="72A3D044"/>
    <w:rsid w:val="72C2A592"/>
    <w:rsid w:val="72CAD747"/>
    <w:rsid w:val="72CEEE68"/>
    <w:rsid w:val="72D1240F"/>
    <w:rsid w:val="73089C99"/>
    <w:rsid w:val="733D3D22"/>
    <w:rsid w:val="7359BB48"/>
    <w:rsid w:val="73831741"/>
    <w:rsid w:val="73A75DEF"/>
    <w:rsid w:val="73BFB7E8"/>
    <w:rsid w:val="73EAEEA8"/>
    <w:rsid w:val="73FD2F9A"/>
    <w:rsid w:val="7425A58D"/>
    <w:rsid w:val="74384A97"/>
    <w:rsid w:val="744E7D9C"/>
    <w:rsid w:val="7463568E"/>
    <w:rsid w:val="7477B775"/>
    <w:rsid w:val="749AD727"/>
    <w:rsid w:val="74A5576D"/>
    <w:rsid w:val="74BCB367"/>
    <w:rsid w:val="74BDB5A2"/>
    <w:rsid w:val="752A8141"/>
    <w:rsid w:val="753ECD9A"/>
    <w:rsid w:val="7540A060"/>
    <w:rsid w:val="7542BF11"/>
    <w:rsid w:val="755981EC"/>
    <w:rsid w:val="755CEE25"/>
    <w:rsid w:val="756C7595"/>
    <w:rsid w:val="758A5F7D"/>
    <w:rsid w:val="75A8144A"/>
    <w:rsid w:val="75B344B4"/>
    <w:rsid w:val="75B849EF"/>
    <w:rsid w:val="75C2E21D"/>
    <w:rsid w:val="75C3F61B"/>
    <w:rsid w:val="75DA85BE"/>
    <w:rsid w:val="7607D710"/>
    <w:rsid w:val="7624FC59"/>
    <w:rsid w:val="76312944"/>
    <w:rsid w:val="76462944"/>
    <w:rsid w:val="76668638"/>
    <w:rsid w:val="769C74BD"/>
    <w:rsid w:val="76EB7E7E"/>
    <w:rsid w:val="76F52828"/>
    <w:rsid w:val="76FBD0AE"/>
    <w:rsid w:val="76FCDCC8"/>
    <w:rsid w:val="770A8483"/>
    <w:rsid w:val="7718A47E"/>
    <w:rsid w:val="7732E810"/>
    <w:rsid w:val="7742D4E1"/>
    <w:rsid w:val="77471615"/>
    <w:rsid w:val="774737C0"/>
    <w:rsid w:val="776223FD"/>
    <w:rsid w:val="777E6C40"/>
    <w:rsid w:val="77899B87"/>
    <w:rsid w:val="77A3B2CA"/>
    <w:rsid w:val="77A62A84"/>
    <w:rsid w:val="77E615B5"/>
    <w:rsid w:val="77EC34CD"/>
    <w:rsid w:val="77F5F505"/>
    <w:rsid w:val="781B9735"/>
    <w:rsid w:val="781E7F84"/>
    <w:rsid w:val="7839C383"/>
    <w:rsid w:val="78622FDE"/>
    <w:rsid w:val="7898E40A"/>
    <w:rsid w:val="78B3131E"/>
    <w:rsid w:val="78B8DE50"/>
    <w:rsid w:val="78CE668A"/>
    <w:rsid w:val="78D6E315"/>
    <w:rsid w:val="78F531B3"/>
    <w:rsid w:val="78F9062C"/>
    <w:rsid w:val="7906F65D"/>
    <w:rsid w:val="790F3474"/>
    <w:rsid w:val="792A655F"/>
    <w:rsid w:val="792F663B"/>
    <w:rsid w:val="7933127E"/>
    <w:rsid w:val="7954ED73"/>
    <w:rsid w:val="796D8F06"/>
    <w:rsid w:val="797231E0"/>
    <w:rsid w:val="7985A416"/>
    <w:rsid w:val="79D32408"/>
    <w:rsid w:val="79DA3AE5"/>
    <w:rsid w:val="79F26723"/>
    <w:rsid w:val="7A0D468F"/>
    <w:rsid w:val="7A1DE4C7"/>
    <w:rsid w:val="7AADE50F"/>
    <w:rsid w:val="7B27285B"/>
    <w:rsid w:val="7B67C5C7"/>
    <w:rsid w:val="7B742CB2"/>
    <w:rsid w:val="7B9289DC"/>
    <w:rsid w:val="7BAFD586"/>
    <w:rsid w:val="7BB72B79"/>
    <w:rsid w:val="7BBD4306"/>
    <w:rsid w:val="7BCB5FED"/>
    <w:rsid w:val="7BCC2181"/>
    <w:rsid w:val="7BD2ED44"/>
    <w:rsid w:val="7BEC3F51"/>
    <w:rsid w:val="7BFA1267"/>
    <w:rsid w:val="7C23CCCD"/>
    <w:rsid w:val="7C31FF7A"/>
    <w:rsid w:val="7C4FCE30"/>
    <w:rsid w:val="7C72850D"/>
    <w:rsid w:val="7CAA6F0A"/>
    <w:rsid w:val="7CB6717F"/>
    <w:rsid w:val="7D002DCB"/>
    <w:rsid w:val="7D019E94"/>
    <w:rsid w:val="7D1265BC"/>
    <w:rsid w:val="7D29408E"/>
    <w:rsid w:val="7D2A1007"/>
    <w:rsid w:val="7D2F78B9"/>
    <w:rsid w:val="7D2FEDD4"/>
    <w:rsid w:val="7D346676"/>
    <w:rsid w:val="7D3BA610"/>
    <w:rsid w:val="7D68E24E"/>
    <w:rsid w:val="7D7A1BC0"/>
    <w:rsid w:val="7D90D944"/>
    <w:rsid w:val="7DBC4EE4"/>
    <w:rsid w:val="7DE3749D"/>
    <w:rsid w:val="7DF20C71"/>
    <w:rsid w:val="7E05FD98"/>
    <w:rsid w:val="7E0FDAA7"/>
    <w:rsid w:val="7E31D2CE"/>
    <w:rsid w:val="7E346234"/>
    <w:rsid w:val="7E34B8CD"/>
    <w:rsid w:val="7E5D603B"/>
    <w:rsid w:val="7E603769"/>
    <w:rsid w:val="7E9152E0"/>
    <w:rsid w:val="7EA689C6"/>
    <w:rsid w:val="7EAFC9B4"/>
    <w:rsid w:val="7EB392F2"/>
    <w:rsid w:val="7F041DAD"/>
    <w:rsid w:val="7F08164F"/>
    <w:rsid w:val="7F13A981"/>
    <w:rsid w:val="7F2DCDFD"/>
    <w:rsid w:val="7F3F76C6"/>
    <w:rsid w:val="7F59D9F8"/>
    <w:rsid w:val="7F785492"/>
    <w:rsid w:val="7F830E3C"/>
    <w:rsid w:val="7F908B68"/>
    <w:rsid w:val="7FCFF2B1"/>
    <w:rsid w:val="7FDF1D55"/>
    <w:rsid w:val="7FE3C7D6"/>
    <w:rsid w:val="7FFE5B9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FCB53E"/>
  <w15:chartTrackingRefBased/>
  <w15:docId w15:val="{B8F9BF5D-812D-44BF-A1ED-8410956E31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unhideWhenUsed="1"/>
    <w:lsdException w:name="annotation text" w:semiHidden="1" w:qFormat="1"/>
    <w:lsdException w:name="header" w:uiPriority="99" w:qFormat="1"/>
    <w:lsdException w:name="caption" w:qFormat="1"/>
    <w:lsdException w:name="annotation reference" w:semiHidden="1"/>
    <w:lsdException w:name="Title" w:qFormat="1"/>
    <w:lsdException w:name="Default Paragraph Font" w:semiHidden="1"/>
    <w:lsdException w:name="Subtitle" w:qFormat="1"/>
    <w:lsdException w:name="Hyperlink" w:uiPriority="99" w:qFormat="1"/>
    <w:lsdException w:name="Strong" w:uiPriority="22"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92452"/>
    <w:rPr>
      <w:rFonts w:eastAsia="Times New Roman"/>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
    <w:basedOn w:val="Normal"/>
    <w:next w:val="BodyText"/>
    <w:link w:val="Heading1Char"/>
    <w:qFormat/>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link w:val="Heading2Char"/>
    <w:qFormat/>
    <w:pPr>
      <w:keepNext/>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pPr>
      <w:keepNext/>
      <w:numPr>
        <w:ilvl w:val="2"/>
        <w:numId w:val="1"/>
      </w:numPr>
      <w:tabs>
        <w:tab w:val="left" w:pos="-5500"/>
      </w:tabs>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pPr>
      <w:keepNext/>
      <w:numPr>
        <w:ilvl w:val="3"/>
        <w:numId w:val="1"/>
      </w:numPr>
      <w:tabs>
        <w:tab w:val="left" w:pos="-5500"/>
      </w:tabs>
      <w:spacing w:before="240" w:after="60"/>
      <w:outlineLvl w:val="3"/>
    </w:pPr>
    <w:rPr>
      <w:rFonts w:eastAsia="MS Mincho"/>
      <w:b/>
      <w:bCs/>
      <w:sz w:val="28"/>
      <w:szCs w:val="28"/>
    </w:rPr>
  </w:style>
  <w:style w:type="paragraph" w:styleId="Heading5">
    <w:name w:val="heading 5"/>
    <w:basedOn w:val="Normal"/>
    <w:next w:val="Normal"/>
    <w:qFormat/>
    <w:pPr>
      <w:keepNext/>
      <w:keepLines/>
      <w:tabs>
        <w:tab w:val="left" w:pos="1188"/>
      </w:tabs>
      <w:spacing w:before="280" w:after="290" w:line="376" w:lineRule="auto"/>
      <w:ind w:left="851" w:hanging="851"/>
      <w:outlineLvl w:val="4"/>
    </w:pPr>
    <w:rPr>
      <w:b/>
      <w:bCs/>
      <w:sz w:val="28"/>
      <w:szCs w:val="28"/>
    </w:rPr>
  </w:style>
  <w:style w:type="paragraph" w:styleId="Heading6">
    <w:name w:val="heading 6"/>
    <w:basedOn w:val="Normal"/>
    <w:next w:val="Normal"/>
    <w:qFormat/>
    <w:pPr>
      <w:keepNext/>
      <w:keepLines/>
      <w:tabs>
        <w:tab w:val="left" w:pos="1152"/>
      </w:tabs>
      <w:spacing w:before="240" w:after="64" w:line="320" w:lineRule="auto"/>
      <w:ind w:left="851" w:hanging="851"/>
      <w:outlineLvl w:val="5"/>
    </w:pPr>
    <w:rPr>
      <w:rFonts w:ascii="Arial" w:eastAsia="SimHei" w:hAnsi="Arial"/>
      <w:b/>
      <w:bCs/>
      <w:sz w:val="24"/>
    </w:rPr>
  </w:style>
  <w:style w:type="paragraph" w:styleId="Heading7">
    <w:name w:val="heading 7"/>
    <w:basedOn w:val="Normal"/>
    <w:next w:val="Normal"/>
    <w:qFormat/>
    <w:pPr>
      <w:keepNext/>
      <w:keepLines/>
      <w:tabs>
        <w:tab w:val="left" w:pos="1476"/>
      </w:tabs>
      <w:spacing w:before="240" w:after="64" w:line="320" w:lineRule="auto"/>
      <w:ind w:left="1476" w:hanging="1476"/>
      <w:outlineLvl w:val="6"/>
    </w:pPr>
    <w:rPr>
      <w:b/>
      <w:bCs/>
      <w:sz w:val="24"/>
    </w:rPr>
  </w:style>
  <w:style w:type="paragraph" w:styleId="Heading8">
    <w:name w:val="heading 8"/>
    <w:basedOn w:val="Normal"/>
    <w:next w:val="Normal"/>
    <w:qFormat/>
    <w:pPr>
      <w:keepNext/>
      <w:keepLines/>
      <w:tabs>
        <w:tab w:val="left" w:pos="1620"/>
      </w:tabs>
      <w:spacing w:before="240" w:after="64" w:line="320" w:lineRule="auto"/>
      <w:ind w:left="1620" w:hanging="1620"/>
      <w:outlineLvl w:val="7"/>
    </w:pPr>
    <w:rPr>
      <w:rFonts w:ascii="Arial" w:eastAsia="SimHei" w:hAnsi="Arial"/>
      <w:sz w:val="24"/>
    </w:rPr>
  </w:style>
  <w:style w:type="paragraph" w:styleId="Heading9">
    <w:name w:val="heading 9"/>
    <w:basedOn w:val="Normal"/>
    <w:next w:val="Normal"/>
    <w:qFormat/>
    <w:pPr>
      <w:keepNext/>
      <w:keepLines/>
      <w:tabs>
        <w:tab w:val="left" w:pos="1764"/>
      </w:tabs>
      <w:spacing w:before="240" w:after="64" w:line="320" w:lineRule="auto"/>
      <w:ind w:left="1764" w:hanging="1764"/>
      <w:outlineLvl w:val="8"/>
    </w:pPr>
    <w:rPr>
      <w:rFonts w:ascii="Arial" w:eastAsia="SimHei"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Pr>
      <w:rFonts w:ascii="Arial" w:eastAsia="MS Mincho" w:hAnsi="Arial"/>
      <w:b/>
      <w:szCs w:val="24"/>
      <w:lang w:val="en-US" w:eastAsia="en-US" w:bidi="ar-SA"/>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NOChar">
    <w:name w:val="NO Char"/>
    <w:link w:val="NO"/>
    <w:qFormat/>
    <w:rPr>
      <w:rFonts w:eastAsia="Malgun Gothic"/>
      <w:lang w:val="en-GB" w:eastAsia="en-US"/>
    </w:rPr>
  </w:style>
  <w:style w:type="character" w:customStyle="1" w:styleId="B1">
    <w:name w:val="B1 (文字)"/>
    <w:link w:val="B10"/>
    <w:qFormat/>
    <w:rPr>
      <w:rFonts w:eastAsia="Times New Roman"/>
      <w:lang w:val="en-GB" w:eastAsia="en-GB"/>
    </w:rPr>
  </w:style>
  <w:style w:type="character" w:customStyle="1" w:styleId="B1Char">
    <w:name w:val="B1 Char"/>
    <w:locked/>
  </w:style>
  <w:style w:type="character" w:customStyle="1" w:styleId="B3Char2">
    <w:name w:val="B3 Char2"/>
    <w:qFormat/>
    <w:rPr>
      <w:rFonts w:eastAsia="Times New Roman"/>
    </w:rPr>
  </w:style>
  <w:style w:type="character" w:styleId="Hyperlink">
    <w:name w:val="Hyperlink"/>
    <w:uiPriority w:val="99"/>
    <w:qFormat/>
    <w:rPr>
      <w:color w:val="0000FF"/>
      <w:u w:val="single"/>
    </w:rPr>
  </w:style>
  <w:style w:type="character" w:styleId="CommentReference">
    <w:name w:val="annotation reference"/>
    <w:rPr>
      <w:sz w:val="21"/>
      <w:szCs w:val="21"/>
    </w:rPr>
  </w:style>
  <w:style w:type="character" w:customStyle="1" w:styleId="Doc-text2Char">
    <w:name w:val="Doc-text2 Char"/>
    <w:link w:val="Doc-text2"/>
    <w:qFormat/>
    <w:rPr>
      <w:rFonts w:ascii="Arial" w:eastAsia="MS Mincho" w:hAnsi="Arial"/>
      <w:szCs w:val="24"/>
      <w:lang w:val="en-GB" w:eastAsia="en-GB"/>
    </w:rPr>
  </w:style>
  <w:style w:type="character" w:customStyle="1" w:styleId="apple-converted-space">
    <w:name w:val="apple-converted-space"/>
    <w:basedOn w:val="DefaultParagraphFont"/>
  </w:style>
  <w:style w:type="character" w:customStyle="1" w:styleId="15">
    <w:name w:val="15"/>
    <w:rPr>
      <w:rFonts w:ascii="Times New Roman" w:hAnsi="Times New Roman" w:cs="Times New Roman" w:hint="default"/>
      <w:color w:val="0000FF"/>
      <w:u w:val="singl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Pr>
      <w:rFonts w:ascii="Arial" w:eastAsia="MS Mincho" w:hAnsi="Arial" w:cs="Arial"/>
      <w:b/>
      <w:bCs/>
      <w:sz w:val="26"/>
      <w:szCs w:val="26"/>
      <w:lang w:eastAsia="en-US"/>
    </w:rPr>
  </w:style>
  <w:style w:type="character" w:customStyle="1" w:styleId="EditorsNoteChar">
    <w:name w:val="Editor's Note Char"/>
    <w:aliases w:val="EN Char"/>
    <w:link w:val="EditorsNote"/>
    <w:qFormat/>
    <w:locked/>
    <w:rPr>
      <w:color w:val="FF0000"/>
    </w:rPr>
  </w:style>
  <w:style w:type="character" w:customStyle="1" w:styleId="BodyTextChar">
    <w:name w:val="Body Text Char"/>
    <w:link w:val="BodyText"/>
    <w:rPr>
      <w:rFonts w:eastAsia="MS Mincho"/>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B3Char">
    <w:name w:val="B3 Char"/>
    <w:link w:val="B3"/>
    <w:rPr>
      <w:rFonts w:eastAsia="Times New Roman"/>
    </w:rPr>
  </w:style>
  <w:style w:type="character" w:customStyle="1" w:styleId="B1Char1">
    <w:name w:val="B1 Char1"/>
    <w:qFormat/>
    <w:rPr>
      <w:rFonts w:eastAsia="Times New Roman"/>
    </w:rPr>
  </w:style>
  <w:style w:type="character" w:customStyle="1" w:styleId="PLChar">
    <w:name w:val="PL Char"/>
    <w:link w:val="PL"/>
    <w:qFormat/>
    <w:rPr>
      <w:rFonts w:ascii="Courier New" w:eastAsia="Times New Roman" w:hAnsi="Courier New"/>
      <w:sz w:val="16"/>
      <w:lang w:val="en-US" w:eastAsia="zh-CN"/>
    </w:rPr>
  </w:style>
  <w:style w:type="character" w:customStyle="1" w:styleId="Heading2Char">
    <w:name w:val="Heading 2 Char"/>
    <w:link w:val="Heading2"/>
    <w:rPr>
      <w:rFonts w:ascii="Arial" w:eastAsia="MS Mincho" w:hAnsi="Arial" w:cs="Arial"/>
      <w:b/>
      <w:bCs/>
      <w:iCs/>
      <w:szCs w:val="28"/>
    </w:rPr>
  </w:style>
  <w:style w:type="character" w:customStyle="1" w:styleId="LGTdocChar">
    <w:name w:val="LGTdoc_본문 Char"/>
    <w:link w:val="LGTdoc"/>
    <w:rPr>
      <w:rFonts w:eastAsia="Batang"/>
      <w:kern w:val="2"/>
      <w:sz w:val="22"/>
      <w:szCs w:val="24"/>
      <w:lang w:val="en-GB" w:eastAsia="ko-KR" w:bidi="ar-SA"/>
    </w:rPr>
  </w:style>
  <w:style w:type="character" w:customStyle="1" w:styleId="CaptionChar">
    <w:name w:val="Caption Char"/>
    <w:link w:val="Caption"/>
    <w:rPr>
      <w:lang w:val="en-GB" w:eastAsia="en-US" w:bidi="ar-SA"/>
    </w:rPr>
  </w:style>
  <w:style w:type="character" w:customStyle="1" w:styleId="B2Char">
    <w:name w:val="B2 Char"/>
    <w:qFormat/>
    <w:rPr>
      <w:rFonts w:eastAsia="Times New Roman"/>
    </w:rPr>
  </w:style>
  <w:style w:type="character" w:customStyle="1" w:styleId="B4Char">
    <w:name w:val="B4 Char"/>
    <w:link w:val="B4"/>
    <w:qFormat/>
    <w:rPr>
      <w:rFonts w:eastAsia="Times New Roman"/>
    </w:rPr>
  </w:style>
  <w:style w:type="character" w:customStyle="1" w:styleId="B1Zchn">
    <w:name w:val="B1 Zchn"/>
    <w:rPr>
      <w:rFonts w:eastAsia="Times New Roman"/>
    </w:rPr>
  </w:style>
  <w:style w:type="character" w:customStyle="1" w:styleId="B2Car">
    <w:name w:val="B2 Car"/>
    <w:link w:val="B2"/>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character" w:customStyle="1" w:styleId="a">
    <w:name w:val="题注 字符"/>
    <w:aliases w:val="cap 字符,cap Char 字符,Caption Char 字符,Caption Char1 Char 字符,cap Char Char1 字符,Caption Char Char1 Char 字符,cap Char2 字符"/>
    <w:rPr>
      <w:lang w:val="en-GB" w:eastAsia="en-US" w:bidi="ar-SA"/>
    </w:rPr>
  </w:style>
  <w:style w:type="character" w:customStyle="1" w:styleId="TALCar">
    <w:name w:val="TAL Car"/>
    <w:link w:val="TAL"/>
    <w:qFormat/>
    <w:locked/>
    <w:rPr>
      <w:rFonts w:ascii="Arial" w:eastAsia="Times New Roman" w:hAnsi="Arial"/>
      <w:sz w:val="18"/>
      <w:lang w:val="en-GB" w:eastAsia="en-US"/>
    </w:rPr>
  </w:style>
  <w:style w:type="character" w:customStyle="1" w:styleId="16">
    <w:name w:val="16"/>
    <w:rPr>
      <w:rFonts w:ascii="Times New Roman" w:hAnsi="Times New Roman" w:cs="Times New Roman" w:hint="default"/>
      <w:color w:val="0000FF"/>
      <w:u w:val="single"/>
    </w:rPr>
  </w:style>
  <w:style w:type="character" w:customStyle="1" w:styleId="3GPPAgreementsChar">
    <w:name w:val="3GPP Agreements Char"/>
    <w:link w:val="3GPPAgreements"/>
    <w:rPr>
      <w:sz w:val="22"/>
    </w:rPr>
  </w:style>
  <w:style w:type="character" w:customStyle="1" w:styleId="Doc-titleChar">
    <w:name w:val="Doc-title Char"/>
    <w:link w:val="Doc-title"/>
    <w:qFormat/>
    <w:rPr>
      <w:rFonts w:ascii="Arial" w:eastAsia="MS Mincho" w:hAnsi="Arial" w:cs="Arial"/>
      <w:sz w:val="24"/>
      <w:szCs w:val="24"/>
    </w:rPr>
  </w:style>
  <w:style w:type="paragraph" w:styleId="DocumentMap">
    <w:name w:val="Document Map"/>
    <w:basedOn w:val="Normal"/>
    <w:semiHidden/>
    <w:pPr>
      <w:shd w:val="clear" w:color="auto" w:fill="000080"/>
    </w:pPr>
  </w:style>
  <w:style w:type="paragraph" w:styleId="Caption">
    <w:name w:val="caption"/>
    <w:basedOn w:val="Normal"/>
    <w:next w:val="Normal"/>
    <w:link w:val="CaptionChar"/>
    <w:qFormat/>
    <w:pPr>
      <w:overflowPunct w:val="0"/>
      <w:autoSpaceDE w:val="0"/>
      <w:autoSpaceDN w:val="0"/>
      <w:adjustRightInd w:val="0"/>
      <w:spacing w:before="120" w:after="120"/>
      <w:textAlignment w:val="baseline"/>
    </w:pPr>
    <w:rPr>
      <w:szCs w:val="20"/>
      <w:lang w:val="en-GB"/>
    </w:rPr>
  </w:style>
  <w:style w:type="paragraph" w:styleId="BodyText">
    <w:name w:val="Body Text"/>
    <w:basedOn w:val="Normal"/>
    <w:link w:val="BodyTextChar"/>
    <w:pPr>
      <w:spacing w:after="120"/>
      <w:jc w:val="both"/>
    </w:pPr>
    <w:rPr>
      <w:rFonts w:eastAsia="MS Mincho"/>
    </w:rPr>
  </w:style>
  <w:style w:type="paragraph" w:styleId="NormalIndent">
    <w:name w:val="Normal Indent"/>
    <w:basedOn w:val="Normal"/>
    <w:uiPriority w:val="99"/>
    <w:unhideWhenUsed/>
    <w:pPr>
      <w:widowControl w:val="0"/>
      <w:ind w:left="720"/>
      <w:jc w:val="both"/>
    </w:pPr>
    <w:rPr>
      <w:rFonts w:eastAsia="SimSun"/>
      <w:kern w:val="2"/>
      <w:sz w:val="21"/>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qFormat/>
    <w:pPr>
      <w:tabs>
        <w:tab w:val="center" w:pos="4536"/>
        <w:tab w:val="right" w:pos="9072"/>
      </w:tabs>
    </w:pPr>
    <w:rPr>
      <w:rFonts w:ascii="Arial" w:eastAsia="MS Mincho" w:hAnsi="Arial"/>
      <w:b/>
    </w:rPr>
  </w:style>
  <w:style w:type="paragraph" w:styleId="List2">
    <w:name w:val="List 2"/>
    <w:basedOn w:val="List"/>
    <w:pPr>
      <w:numPr>
        <w:numId w:val="2"/>
      </w:numPr>
      <w:tabs>
        <w:tab w:val="left" w:pos="2041"/>
      </w:tabs>
      <w:spacing w:before="180"/>
    </w:pPr>
    <w:rPr>
      <w:rFonts w:ascii="Arial" w:hAnsi="Arial"/>
      <w:sz w:val="22"/>
      <w:szCs w:val="20"/>
    </w:rPr>
  </w:style>
  <w:style w:type="paragraph" w:styleId="List3">
    <w:name w:val="List 3"/>
    <w:basedOn w:val="Normal"/>
    <w:pPr>
      <w:ind w:leftChars="400" w:left="100" w:hangingChars="200" w:hanging="200"/>
      <w:contextualSpacing/>
    </w:pPr>
  </w:style>
  <w:style w:type="paragraph" w:styleId="List">
    <w:name w:val="List"/>
    <w:basedOn w:val="Normal"/>
    <w:pPr>
      <w:ind w:left="283" w:hanging="283"/>
    </w:pPr>
  </w:style>
  <w:style w:type="paragraph" w:styleId="CommentText">
    <w:name w:val="annotation text"/>
    <w:basedOn w:val="Normal"/>
    <w:link w:val="CommentTextChar"/>
    <w:qFormat/>
  </w:style>
  <w:style w:type="paragraph" w:styleId="TOC8">
    <w:name w:val="toc 8"/>
    <w:basedOn w:val="TOC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SimSun"/>
      <w:b/>
      <w:sz w:val="22"/>
      <w:szCs w:val="20"/>
      <w:lang w:eastAsia="zh-CN"/>
    </w:rPr>
  </w:style>
  <w:style w:type="paragraph" w:styleId="BalloonText">
    <w:name w:val="Balloon Text"/>
    <w:basedOn w:val="Normal"/>
    <w:semiHidden/>
    <w:rPr>
      <w:sz w:val="18"/>
      <w:szCs w:val="18"/>
    </w:rPr>
  </w:style>
  <w:style w:type="paragraph" w:styleId="TOC1">
    <w:name w:val="toc 1"/>
    <w:basedOn w:val="Normal"/>
    <w:next w:val="Normal"/>
  </w:style>
  <w:style w:type="paragraph" w:styleId="Footer">
    <w:name w:val="footer"/>
    <w:basedOn w:val="Normal"/>
    <w:pPr>
      <w:tabs>
        <w:tab w:val="center" w:pos="4153"/>
        <w:tab w:val="right" w:pos="8306"/>
      </w:tabs>
      <w:snapToGrid w:val="0"/>
    </w:pPr>
    <w:rPr>
      <w:sz w:val="18"/>
      <w:szCs w:val="18"/>
    </w:r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1">
    <w:name w:val="正文1"/>
    <w:pPr>
      <w:jc w:val="both"/>
    </w:pPr>
    <w:rPr>
      <w:kern w:val="2"/>
      <w:sz w:val="21"/>
      <w:szCs w:val="21"/>
    </w:rPr>
  </w:style>
  <w:style w:type="paragraph" w:customStyle="1" w:styleId="H6">
    <w:name w:val="H6"/>
    <w:basedOn w:val="Heading5"/>
    <w:next w:val="Normal"/>
    <w:pPr>
      <w:tabs>
        <w:tab w:val="clear" w:pos="1188"/>
      </w:tabs>
      <w:spacing w:before="120" w:after="180" w:line="240" w:lineRule="auto"/>
      <w:ind w:left="1985" w:hanging="1985"/>
      <w:outlineLvl w:val="9"/>
    </w:pPr>
    <w:rPr>
      <w:rFonts w:ascii="Arial" w:eastAsia="SimSun" w:hAnsi="Arial"/>
      <w:b w:val="0"/>
      <w:bCs w:val="0"/>
      <w:sz w:val="20"/>
      <w:szCs w:val="20"/>
      <w:lang w:val="en-GB"/>
    </w:rPr>
  </w:style>
  <w:style w:type="paragraph" w:customStyle="1" w:styleId="TAC">
    <w:name w:val="TAC"/>
    <w:basedOn w:val="Normal"/>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B2">
    <w:name w:val="B2"/>
    <w:basedOn w:val="List2"/>
    <w:link w:val="B2C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List4">
    <w:name w:val="List 4"/>
    <w:basedOn w:val="Normal"/>
    <w:pPr>
      <w:ind w:leftChars="600" w:left="100" w:hangingChars="200" w:hanging="200"/>
      <w:contextualSpacing/>
    </w:pPr>
  </w:style>
  <w:style w:type="paragraph" w:customStyle="1" w:styleId="2">
    <w:name w:val="正文2"/>
    <w:pPr>
      <w:jc w:val="both"/>
    </w:pPr>
    <w:rPr>
      <w:rFonts w:ascii="SimSun" w:hAnsi="SimSun" w:cs="SimSun"/>
      <w:kern w:val="2"/>
      <w:sz w:val="21"/>
      <w:szCs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CharCharCharCharCharCharCharCharCharChar">
    <w:name w:val="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ecxmsonormal">
    <w:name w:val="ecxmsonormal"/>
    <w:basedOn w:val="Normal"/>
    <w:pPr>
      <w:spacing w:before="100" w:beforeAutospacing="1" w:after="100" w:afterAutospacing="1"/>
    </w:pPr>
    <w:rPr>
      <w:rFonts w:ascii="SimSun" w:eastAsia="SimSun" w:hAnsi="SimSun" w:cs="SimSun"/>
      <w:sz w:val="24"/>
      <w:lang w:eastAsia="zh-CN"/>
    </w:rPr>
  </w:style>
  <w:style w:type="paragraph" w:styleId="NormalWeb">
    <w:name w:val="Normal (Web)"/>
    <w:basedOn w:val="Normal"/>
    <w:uiPriority w:val="99"/>
    <w:unhideWhenUsed/>
    <w:pPr>
      <w:spacing w:before="100" w:beforeAutospacing="1" w:after="100" w:afterAutospacing="1"/>
    </w:pPr>
    <w:rPr>
      <w:rFonts w:ascii="SimSun" w:eastAsia="SimSun" w:hAnsi="SimSun" w:cs="SimSun"/>
      <w:sz w:val="24"/>
      <w:lang w:eastAsia="zh-CN"/>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basedOn w:val="Normal"/>
    <w:qFormat/>
    <w:rPr>
      <w:rFonts w:ascii="Times" w:hAnsi="Times"/>
      <w:sz w:val="22"/>
      <w:szCs w:val="20"/>
    </w:rPr>
  </w:style>
  <w:style w:type="paragraph" w:customStyle="1" w:styleId="TAL">
    <w:name w:val="TAL"/>
    <w:basedOn w:val="Normal"/>
    <w:link w:val="TALCar"/>
    <w:qFormat/>
    <w:pPr>
      <w:keepNext/>
      <w:keepLines/>
    </w:pPr>
    <w:rPr>
      <w:rFonts w:ascii="Arial" w:hAnsi="Arial"/>
      <w:sz w:val="18"/>
      <w:szCs w:val="20"/>
      <w:lang w:val="en-GB"/>
    </w:rPr>
  </w:style>
  <w:style w:type="paragraph" w:styleId="CommentSubject">
    <w:name w:val="annotation subject"/>
    <w:basedOn w:val="CommentText"/>
    <w:next w:val="CommentText"/>
    <w:semiHidden/>
    <w:rPr>
      <w:b/>
      <w:bCs/>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EditorsNote">
    <w:name w:val="Editor's Note"/>
    <w:basedOn w:val="Normal"/>
    <w:link w:val="EditorsNoteChar"/>
    <w:qFormat/>
    <w:pPr>
      <w:spacing w:after="180"/>
      <w:ind w:left="1135" w:hanging="851"/>
    </w:pPr>
    <w:rPr>
      <w:rFonts w:eastAsia="SimSun"/>
      <w:color w:val="FF0000"/>
      <w:szCs w:val="20"/>
      <w:lang w:eastAsia="zh-CN"/>
    </w:rPr>
  </w:style>
  <w:style w:type="paragraph" w:customStyle="1" w:styleId="LGTdoc">
    <w:name w:val="LGTdoc_본문"/>
    <w:basedOn w:val="Normal"/>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TF">
    <w:name w:val="TF"/>
    <w:basedOn w:val="TH"/>
    <w:link w:val="TFChar"/>
    <w:pPr>
      <w:keepNext w:val="0"/>
      <w:spacing w:before="0" w:after="240"/>
    </w:pPr>
  </w:style>
  <w:style w:type="paragraph" w:customStyle="1" w:styleId="B10">
    <w:name w:val="B1"/>
    <w:basedOn w:val="List"/>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ecxmsobodytext">
    <w:name w:val="ecxmsobodytext"/>
    <w:basedOn w:val="Normal"/>
    <w:pPr>
      <w:spacing w:before="100" w:beforeAutospacing="1" w:after="100" w:afterAutospacing="1"/>
    </w:pPr>
    <w:rPr>
      <w:rFonts w:ascii="SimSun" w:eastAsia="SimSun" w:hAnsi="SimSun" w:cs="SimSun"/>
      <w:sz w:val="24"/>
      <w:lang w:eastAsia="zh-CN"/>
    </w:rPr>
  </w:style>
  <w:style w:type="paragraph" w:customStyle="1" w:styleId="Doc-title">
    <w:name w:val="Doc-title"/>
    <w:basedOn w:val="Normal"/>
    <w:next w:val="Normal"/>
    <w:link w:val="Doc-titleChar"/>
    <w:qFormat/>
    <w:pPr>
      <w:spacing w:before="100" w:beforeAutospacing="1"/>
      <w:ind w:left="1260" w:hanging="1260"/>
    </w:pPr>
    <w:rPr>
      <w:rFonts w:ascii="Arial" w:eastAsia="MS Mincho" w:hAnsi="Arial" w:cs="Arial"/>
      <w:sz w:val="24"/>
      <w:lang w:eastAsia="zh-CN"/>
    </w:rPr>
  </w:style>
  <w:style w:type="paragraph" w:customStyle="1" w:styleId="TdocHeading1">
    <w:name w:val="Tdoc_Heading_1"/>
    <w:basedOn w:val="Heading1"/>
    <w:next w:val="BodyText"/>
    <w:pPr>
      <w:numPr>
        <w:numId w:val="3"/>
      </w:numPr>
      <w:tabs>
        <w:tab w:val="left" w:pos="360"/>
        <w:tab w:val="left" w:pos="567"/>
      </w:tabs>
      <w:spacing w:before="240"/>
      <w:jc w:val="both"/>
    </w:pPr>
    <w:rPr>
      <w:rFonts w:eastAsia="Batang" w:cs="Times New Roman"/>
      <w:bCs w:val="0"/>
      <w:kern w:val="28"/>
      <w:sz w:val="24"/>
      <w:szCs w:val="20"/>
      <w:lang w:eastAsia="en-US"/>
    </w:rPr>
  </w:style>
  <w:style w:type="paragraph" w:customStyle="1" w:styleId="10">
    <w:name w:val="列出段落1"/>
    <w:basedOn w:val="Normal"/>
    <w:pPr>
      <w:spacing w:before="100" w:beforeAutospacing="1" w:after="180"/>
      <w:ind w:left="720"/>
      <w:contextualSpacing/>
    </w:pPr>
    <w:rPr>
      <w:rFonts w:eastAsia="Batang"/>
      <w:sz w:val="24"/>
      <w:lang w:eastAsia="zh-CN"/>
    </w:rPr>
  </w:style>
  <w:style w:type="paragraph" w:customStyle="1" w:styleId="MotorolaResponse1CharCharCharCharCharChar">
    <w:name w:val="Motorola Response1 Char Char Char Char Char Char"/>
    <w:next w:val="Normal"/>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ComeBack">
    <w:name w:val="ComeBack"/>
    <w:basedOn w:val="Doc-text2"/>
    <w:next w:val="Doc-text2"/>
    <w:pPr>
      <w:tabs>
        <w:tab w:val="clear" w:pos="1622"/>
      </w:tabs>
      <w:spacing w:before="100" w:beforeAutospacing="1" w:after="100" w:afterAutospacing="1"/>
      <w:ind w:hanging="1055"/>
    </w:pPr>
    <w:rPr>
      <w:szCs w:val="20"/>
      <w:lang w:val="en-US" w:eastAsia="zh-CN"/>
    </w:rPr>
  </w:style>
  <w:style w:type="paragraph" w:customStyle="1" w:styleId="TdocHeader2">
    <w:name w:val="Tdoc_Header_2"/>
    <w:basedOn w:val="Normal"/>
    <w:pPr>
      <w:widowControl w:val="0"/>
      <w:tabs>
        <w:tab w:val="left" w:pos="1701"/>
        <w:tab w:val="right" w:pos="9072"/>
        <w:tab w:val="right" w:pos="10206"/>
      </w:tabs>
      <w:jc w:val="both"/>
    </w:pPr>
    <w:rPr>
      <w:rFonts w:ascii="Arial" w:eastAsia="Batang" w:hAnsi="Arial"/>
      <w:b/>
      <w:sz w:val="18"/>
      <w:szCs w:val="20"/>
      <w:lang w:val="en-GB"/>
    </w:rPr>
  </w:style>
  <w:style w:type="paragraph" w:customStyle="1" w:styleId="TH">
    <w:name w:val="TH"/>
    <w:basedOn w:val="Normal"/>
    <w:link w:val="THChar"/>
    <w:qFormat/>
    <w:pPr>
      <w:keepNext/>
      <w:keepLines/>
      <w:spacing w:before="60" w:after="180"/>
      <w:jc w:val="center"/>
    </w:pPr>
    <w:rPr>
      <w:rFonts w:ascii="Arial" w:hAnsi="Arial"/>
      <w:b/>
      <w:szCs w:val="20"/>
      <w:lang w:val="en-GB"/>
    </w:rPr>
  </w:style>
  <w:style w:type="paragraph" w:customStyle="1" w:styleId="CharCharCharCharCharCharCharCharCharCharCharCharCharCharCharChar">
    <w:name w:val="Char Char Char 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Proposal">
    <w:name w:val="Proposal"/>
    <w:basedOn w:val="Normal"/>
    <w:link w:val="ProposalChar"/>
    <w:qFormat/>
    <w:pPr>
      <w:overflowPunct w:val="0"/>
      <w:autoSpaceDE w:val="0"/>
      <w:autoSpaceDN w:val="0"/>
      <w:adjustRightInd w:val="0"/>
      <w:spacing w:before="100" w:beforeAutospacing="1" w:after="180"/>
      <w:jc w:val="both"/>
    </w:pPr>
    <w:rPr>
      <w:rFonts w:eastAsia="SimSun"/>
      <w:sz w:val="24"/>
      <w:lang w:eastAsia="zh-CN"/>
    </w:rPr>
  </w:style>
  <w:style w:type="paragraph" w:customStyle="1" w:styleId="11">
    <w:name w:val="列表段落1"/>
    <w:basedOn w:val="Normal"/>
    <w:uiPriority w:val="34"/>
    <w:qFormat/>
    <w:pPr>
      <w:widowControl w:val="0"/>
      <w:ind w:firstLineChars="200" w:firstLine="420"/>
      <w:jc w:val="both"/>
    </w:pPr>
    <w:rPr>
      <w:rFonts w:ascii="Calibri" w:eastAsia="SimSun" w:hAnsi="Calibri"/>
      <w:kern w:val="2"/>
      <w:sz w:val="21"/>
      <w:szCs w:val="22"/>
      <w:lang w:eastAsia="zh-CN"/>
    </w:rPr>
  </w:style>
  <w:style w:type="paragraph" w:customStyle="1" w:styleId="Doc-text2">
    <w:name w:val="Doc-text2"/>
    <w:basedOn w:val="Normal"/>
    <w:link w:val="Doc-text2Char"/>
    <w:qFormat/>
    <w:pPr>
      <w:tabs>
        <w:tab w:val="left" w:pos="1622"/>
      </w:tabs>
      <w:ind w:left="1622" w:hanging="363"/>
    </w:pPr>
    <w:rPr>
      <w:rFonts w:ascii="Arial" w:eastAsia="MS Mincho" w:hAnsi="Arial"/>
      <w:lang w:val="en-GB" w:eastAsia="en-GB"/>
    </w:rPr>
  </w:style>
  <w:style w:type="paragraph" w:customStyle="1" w:styleId="a0">
    <w:name w:val="목록 단락"/>
    <w:basedOn w:val="Normal"/>
    <w:pPr>
      <w:autoSpaceDE w:val="0"/>
      <w:spacing w:before="100" w:beforeAutospacing="1" w:after="160" w:line="256" w:lineRule="auto"/>
      <w:ind w:left="720"/>
      <w:contextualSpacing/>
    </w:pPr>
    <w:rPr>
      <w:rFonts w:ascii="Calibri" w:eastAsia="DengXian" w:hAnsi="Calibri"/>
      <w:sz w:val="22"/>
      <w:szCs w:val="22"/>
      <w:lang w:eastAsia="zh-CN"/>
    </w:rPr>
  </w:style>
  <w:style w:type="paragraph" w:customStyle="1" w:styleId="TAH">
    <w:name w:val="TAH"/>
    <w:basedOn w:val="Normal"/>
    <w:pPr>
      <w:keepNext/>
      <w:keepLines/>
      <w:jc w:val="center"/>
    </w:pPr>
    <w:rPr>
      <w:rFonts w:ascii="Arial" w:hAnsi="Arial"/>
      <w:b/>
      <w:sz w:val="18"/>
      <w:szCs w:val="20"/>
      <w:lang w:val="en-GB"/>
    </w:rPr>
  </w:style>
  <w:style w:type="paragraph" w:customStyle="1" w:styleId="CharChar1CharChar1">
    <w:name w:val="Char Char1 Char Char1"/>
    <w:basedOn w:val="Normal"/>
    <w:rPr>
      <w:rFonts w:ascii="Times" w:hAnsi="Times"/>
      <w:sz w:val="22"/>
      <w:szCs w:val="20"/>
    </w:rPr>
  </w:style>
  <w:style w:type="paragraph" w:customStyle="1" w:styleId="B3">
    <w:name w:val="B3"/>
    <w:basedOn w:val="List3"/>
    <w:link w:val="B3Char"/>
    <w:pPr>
      <w:overflowPunct w:val="0"/>
      <w:autoSpaceDE w:val="0"/>
      <w:autoSpaceDN w:val="0"/>
      <w:adjustRightInd w:val="0"/>
      <w:spacing w:after="180"/>
      <w:ind w:leftChars="0" w:left="1135" w:firstLineChars="0" w:hanging="284"/>
      <w:textAlignment w:val="baseline"/>
    </w:pPr>
    <w:rPr>
      <w:szCs w:val="20"/>
    </w:rPr>
  </w:style>
  <w:style w:type="paragraph" w:customStyle="1" w:styleId="CharCharCharCharCharChar">
    <w:name w:val="Char Char Char Char Char Char"/>
    <w:semiHidden/>
    <w:pPr>
      <w:keepNext/>
      <w:numPr>
        <w:numId w:val="4"/>
      </w:numPr>
      <w:tabs>
        <w:tab w:val="left" w:pos="567"/>
      </w:tabs>
      <w:autoSpaceDE w:val="0"/>
      <w:autoSpaceDN w:val="0"/>
      <w:adjustRightInd w:val="0"/>
      <w:spacing w:before="60" w:after="60"/>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3GPPAgreements">
    <w:name w:val="3GPP Agreements"/>
    <w:basedOn w:val="Normal"/>
    <w:link w:val="3GPPAgreementsChar"/>
    <w:qFormat/>
    <w:pPr>
      <w:numPr>
        <w:numId w:val="5"/>
      </w:numPr>
      <w:overflowPunct w:val="0"/>
      <w:autoSpaceDE w:val="0"/>
      <w:autoSpaceDN w:val="0"/>
      <w:adjustRightInd w:val="0"/>
      <w:spacing w:before="60" w:after="60"/>
      <w:jc w:val="both"/>
      <w:textAlignment w:val="baseline"/>
    </w:pPr>
    <w:rPr>
      <w:rFonts w:eastAsia="SimSun"/>
      <w:sz w:val="22"/>
      <w:szCs w:val="20"/>
      <w:lang w:eastAsia="zh-CN"/>
    </w:rPr>
  </w:style>
  <w:style w:type="paragraph" w:styleId="Revision">
    <w:name w:val="Revision"/>
    <w:uiPriority w:val="99"/>
    <w:unhideWhenUsed/>
    <w:rPr>
      <w:rFonts w:eastAsia="Times New Roman"/>
      <w:szCs w:val="24"/>
      <w:lang w:eastAsia="en-US"/>
    </w:rPr>
  </w:style>
  <w:style w:type="paragraph" w:customStyle="1" w:styleId="NO">
    <w:name w:val="NO"/>
    <w:basedOn w:val="Normal"/>
    <w:link w:val="NOChar"/>
    <w:pPr>
      <w:keepLines/>
      <w:spacing w:after="180"/>
      <w:ind w:left="1135" w:hanging="851"/>
    </w:pPr>
    <w:rPr>
      <w:rFonts w:eastAsia="Malgun Gothic"/>
      <w:szCs w:val="20"/>
      <w:lang w:val="en-GB"/>
    </w:rPr>
  </w:style>
  <w:style w:type="paragraph" w:customStyle="1" w:styleId="Comments">
    <w:name w:val="Comments"/>
    <w:basedOn w:val="Normal"/>
    <w:link w:val="CommentsChar"/>
    <w:qFormat/>
    <w:pPr>
      <w:spacing w:before="40"/>
    </w:pPr>
    <w:rPr>
      <w:rFonts w:ascii="Arial" w:eastAsia="MS Mincho" w:hAnsi="Arial"/>
      <w:i/>
      <w:sz w:val="18"/>
      <w:lang w:val="en-GB" w:eastAsia="en-GB"/>
    </w:rPr>
  </w:style>
  <w:style w:type="paragraph" w:customStyle="1" w:styleId="B4">
    <w:name w:val="B4"/>
    <w:basedOn w:val="List4"/>
    <w:link w:val="B4Char"/>
    <w:pPr>
      <w:overflowPunct w:val="0"/>
      <w:autoSpaceDE w:val="0"/>
      <w:autoSpaceDN w:val="0"/>
      <w:adjustRightInd w:val="0"/>
      <w:spacing w:after="180"/>
      <w:ind w:leftChars="0" w:left="1418" w:firstLineChars="0" w:hanging="284"/>
      <w:textAlignment w:val="baseline"/>
    </w:pPr>
    <w:rPr>
      <w:szCs w:val="20"/>
    </w:rPr>
  </w:style>
  <w:style w:type="paragraph" w:customStyle="1" w:styleId="CRCoverPage">
    <w:name w:val="CR Cover Page"/>
    <w:basedOn w:val="Normal"/>
    <w:pPr>
      <w:spacing w:before="100" w:beforeAutospacing="1" w:after="120"/>
    </w:pPr>
    <w:rPr>
      <w:rFonts w:ascii="Arial" w:eastAsia="MS Mincho" w:hAnsi="Arial" w:cs="Arial"/>
      <w:sz w:val="24"/>
      <w:lang w:eastAsia="zh-CN"/>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1">
    <w:name w:val="Grid Table 1 Light Accent 1"/>
    <w:basedOn w:val="TableNormal"/>
    <w:uiPriority w:val="46"/>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top w:val="nil"/>
          <w:left w:val="nil"/>
          <w:bottom w:val="single" w:sz="12" w:space="0" w:color="8EAADB"/>
          <w:right w:val="nil"/>
          <w:insideH w:val="nil"/>
          <w:insideV w:val="nil"/>
          <w:tl2br w:val="nil"/>
          <w:tr2bl w:val="nil"/>
        </w:tcBorders>
      </w:tcPr>
    </w:tblStylePr>
    <w:tblStylePr w:type="lastRow">
      <w:rPr>
        <w:b/>
        <w:bCs/>
      </w:rPr>
      <w:tblPr/>
      <w:tcPr>
        <w:tcBorders>
          <w:top w:val="double" w:sz="2" w:space="0" w:color="8EAADB"/>
          <w:left w:val="nil"/>
          <w:bottom w:val="nil"/>
          <w:right w:val="nil"/>
          <w:insideH w:val="nil"/>
          <w:insideV w:val="nil"/>
          <w:tl2br w:val="nil"/>
          <w:tr2bl w:val="nil"/>
        </w:tcBorders>
      </w:tcPr>
    </w:tblStylePr>
    <w:tblStylePr w:type="firstCol">
      <w:rPr>
        <w:b/>
        <w:bCs/>
      </w:rPr>
    </w:tblStylePr>
    <w:tblStylePr w:type="lastCol">
      <w:rPr>
        <w:b/>
        <w:bCs/>
      </w:rPr>
    </w:tblStylePr>
  </w:style>
  <w:style w:type="character" w:customStyle="1" w:styleId="CommentTextChar">
    <w:name w:val="Comment Text Char"/>
    <w:link w:val="CommentText"/>
    <w:qFormat/>
    <w:rsid w:val="003468F6"/>
    <w:rPr>
      <w:rFonts w:eastAsia="Times New Roman"/>
      <w:szCs w:val="24"/>
      <w:lang w:eastAsia="en-US"/>
    </w:rPr>
  </w:style>
  <w:style w:type="character" w:styleId="FollowedHyperlink">
    <w:name w:val="FollowedHyperlink"/>
    <w:rsid w:val="003468F6"/>
    <w:rPr>
      <w:color w:val="800080"/>
      <w:u w:val="single"/>
    </w:rPr>
  </w:style>
  <w:style w:type="character" w:customStyle="1" w:styleId="TFChar">
    <w:name w:val="TF Char"/>
    <w:link w:val="TF"/>
    <w:rsid w:val="003468F6"/>
    <w:rPr>
      <w:rFonts w:ascii="Arial" w:eastAsia="Times New Roman" w:hAnsi="Arial"/>
      <w:b/>
      <w:lang w:val="en-GB" w:eastAsia="en-US"/>
    </w:rPr>
  </w:style>
  <w:style w:type="paragraph" w:customStyle="1" w:styleId="3GPPHeader">
    <w:name w:val="3GPP_Header"/>
    <w:basedOn w:val="Normal"/>
    <w:rsid w:val="00E10D6C"/>
    <w:pPr>
      <w:tabs>
        <w:tab w:val="left" w:pos="1701"/>
        <w:tab w:val="right" w:pos="9639"/>
      </w:tabs>
      <w:overflowPunct w:val="0"/>
      <w:autoSpaceDE w:val="0"/>
      <w:autoSpaceDN w:val="0"/>
      <w:adjustRightInd w:val="0"/>
      <w:spacing w:after="240"/>
      <w:jc w:val="both"/>
      <w:textAlignment w:val="baseline"/>
    </w:pPr>
    <w:rPr>
      <w:rFonts w:ascii="Arial" w:hAnsi="Arial"/>
      <w:b/>
      <w:sz w:val="24"/>
      <w:szCs w:val="20"/>
      <w:lang w:val="en-GB" w:eastAsia="zh-CN"/>
    </w:rPr>
  </w:style>
  <w:style w:type="paragraph" w:styleId="ListParagraph">
    <w:name w:val="List Paragraph"/>
    <w:aliases w:val="- Bullets,リスト段落,?? ??,?????,????,Lista1,中等深浅网格 1 - 着色 21,¥¡¡¡¡ì¬º¥¹¥È¶ÎÂä,ÁÐ³ö¶ÎÂä,—ño’i—Ž,¥ê¥¹¥È¶ÎÂä,1st level - Bullet List Paragraph,Lettre d'introduction,Paragrafo elenco,Normal bullet 2,Bullet list,목록단락,列出段落,列表段落,列,列表段落11,P"/>
    <w:basedOn w:val="Normal"/>
    <w:link w:val="ListParagraphChar"/>
    <w:uiPriority w:val="34"/>
    <w:qFormat/>
    <w:rsid w:val="00490E64"/>
    <w:pPr>
      <w:ind w:left="720"/>
      <w:contextualSpacing/>
    </w:p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4714A9"/>
    <w:rPr>
      <w:rFonts w:ascii="Arial" w:eastAsia="MS Mincho" w:hAnsi="Arial" w:cs="Arial"/>
      <w:b/>
      <w:szCs w:val="24"/>
      <w:lang w:eastAsia="en-U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072F23"/>
    <w:rPr>
      <w:rFonts w:ascii="Arial" w:hAnsi="Arial" w:cs="Arial"/>
      <w:b/>
      <w:bCs/>
      <w:kern w:val="32"/>
      <w:sz w:val="28"/>
      <w:szCs w:val="32"/>
    </w:rPr>
  </w:style>
  <w:style w:type="paragraph" w:customStyle="1" w:styleId="TAJ">
    <w:name w:val="TAJ"/>
    <w:basedOn w:val="TH"/>
    <w:rsid w:val="001E0825"/>
  </w:style>
  <w:style w:type="character" w:styleId="PlaceholderText">
    <w:name w:val="Placeholder Text"/>
    <w:basedOn w:val="DefaultParagraphFont"/>
    <w:uiPriority w:val="99"/>
    <w:unhideWhenUsed/>
    <w:rsid w:val="003A5016"/>
    <w:rPr>
      <w:color w:val="808080"/>
    </w:rPr>
  </w:style>
  <w:style w:type="character" w:customStyle="1" w:styleId="ListParagraphChar">
    <w:name w:val="List Paragraph Char"/>
    <w:aliases w:val="- Bullets Char,リスト段落 Char,?? ?? Char,????? Char,???? Char,Lista1 Char,中等深浅网格 1 - 着色 21 Char,¥¡¡¡¡ì¬º¥¹¥È¶ÎÂä Char,ÁÐ³ö¶ÎÂä Char,—ño’i—Ž Char,¥ê¥¹¥È¶ÎÂä Char,1st level - Bullet List Paragraph Char,Lettre d'introduction Char,목록단락 Char"/>
    <w:link w:val="ListParagraph"/>
    <w:uiPriority w:val="34"/>
    <w:qFormat/>
    <w:locked/>
    <w:rsid w:val="006E6FC9"/>
    <w:rPr>
      <w:rFonts w:eastAsia="Times New Roman"/>
      <w:szCs w:val="24"/>
      <w:lang w:eastAsia="en-US"/>
    </w:rPr>
  </w:style>
  <w:style w:type="character" w:customStyle="1" w:styleId="ProposalChar">
    <w:name w:val="Proposal Char"/>
    <w:basedOn w:val="DefaultParagraphFont"/>
    <w:link w:val="Proposal"/>
    <w:qFormat/>
    <w:locked/>
    <w:rsid w:val="00403811"/>
    <w:rPr>
      <w:sz w:val="24"/>
      <w:szCs w:val="24"/>
    </w:rPr>
  </w:style>
  <w:style w:type="character" w:customStyle="1" w:styleId="normaltextrun">
    <w:name w:val="normaltextrun"/>
    <w:basedOn w:val="DefaultParagraphFont"/>
    <w:rsid w:val="00CD50A8"/>
  </w:style>
  <w:style w:type="paragraph" w:customStyle="1" w:styleId="paragraph">
    <w:name w:val="paragraph"/>
    <w:basedOn w:val="Normal"/>
    <w:rsid w:val="002E4224"/>
    <w:pPr>
      <w:spacing w:before="100" w:beforeAutospacing="1" w:after="100" w:afterAutospacing="1"/>
    </w:pPr>
    <w:rPr>
      <w:sz w:val="24"/>
    </w:rPr>
  </w:style>
  <w:style w:type="character" w:customStyle="1" w:styleId="eop">
    <w:name w:val="eop"/>
    <w:basedOn w:val="DefaultParagraphFont"/>
    <w:rsid w:val="002E4224"/>
  </w:style>
  <w:style w:type="character" w:customStyle="1" w:styleId="mc-span">
    <w:name w:val="mc-span"/>
    <w:basedOn w:val="DefaultParagraphFont"/>
    <w:rsid w:val="0039635A"/>
  </w:style>
  <w:style w:type="paragraph" w:styleId="NoSpacing">
    <w:name w:val="No Spacing"/>
    <w:uiPriority w:val="99"/>
    <w:qFormat/>
    <w:rsid w:val="00744572"/>
    <w:rPr>
      <w:rFonts w:eastAsia="Times New Roman"/>
      <w:szCs w:val="24"/>
      <w:lang w:eastAsia="en-US"/>
    </w:rPr>
  </w:style>
  <w:style w:type="character" w:styleId="LineNumber">
    <w:name w:val="line number"/>
    <w:basedOn w:val="DefaultParagraphFont"/>
    <w:rsid w:val="004611FF"/>
  </w:style>
  <w:style w:type="paragraph" w:customStyle="1" w:styleId="Agreement">
    <w:name w:val="Agreement"/>
    <w:basedOn w:val="Normal"/>
    <w:next w:val="Normal"/>
    <w:uiPriority w:val="99"/>
    <w:qFormat/>
    <w:rsid w:val="00395B28"/>
    <w:pPr>
      <w:numPr>
        <w:numId w:val="8"/>
      </w:numPr>
      <w:tabs>
        <w:tab w:val="clear" w:pos="1352"/>
        <w:tab w:val="num" w:pos="1619"/>
      </w:tabs>
      <w:spacing w:before="60"/>
      <w:ind w:left="1619"/>
    </w:pPr>
    <w:rPr>
      <w:rFonts w:ascii="Arial" w:eastAsia="MS Mincho" w:hAnsi="Arial"/>
      <w:b/>
      <w:lang w:val="en-GB" w:eastAsia="en-GB"/>
    </w:rPr>
  </w:style>
  <w:style w:type="character" w:styleId="Mention">
    <w:name w:val="Mention"/>
    <w:basedOn w:val="DefaultParagraphFont"/>
    <w:uiPriority w:val="99"/>
    <w:unhideWhenUsed/>
    <w:rsid w:val="00F70906"/>
    <w:rPr>
      <w:color w:val="2B579A"/>
      <w:shd w:val="clear" w:color="auto" w:fill="E1DFDD"/>
    </w:rPr>
  </w:style>
  <w:style w:type="paragraph" w:customStyle="1" w:styleId="Reference">
    <w:name w:val="Reference"/>
    <w:basedOn w:val="BodyText"/>
    <w:rsid w:val="006E29C6"/>
    <w:pPr>
      <w:numPr>
        <w:numId w:val="9"/>
      </w:numPr>
      <w:tabs>
        <w:tab w:val="clear" w:pos="567"/>
        <w:tab w:val="num" w:pos="360"/>
      </w:tabs>
      <w:overflowPunct w:val="0"/>
      <w:autoSpaceDE w:val="0"/>
      <w:autoSpaceDN w:val="0"/>
      <w:adjustRightInd w:val="0"/>
      <w:ind w:left="0" w:firstLine="0"/>
      <w:textAlignment w:val="baseline"/>
    </w:pPr>
    <w:rPr>
      <w:rFonts w:ascii="Arial" w:eastAsia="Times New Roman" w:hAnsi="Arial"/>
      <w:szCs w:val="20"/>
      <w:lang w:val="en-GB" w:eastAsia="zh-CN"/>
    </w:rPr>
  </w:style>
  <w:style w:type="character" w:styleId="Strong">
    <w:name w:val="Strong"/>
    <w:basedOn w:val="DefaultParagraphFont"/>
    <w:uiPriority w:val="22"/>
    <w:qFormat/>
    <w:rsid w:val="00340E5A"/>
    <w:rPr>
      <w:b/>
      <w:bCs/>
    </w:rPr>
  </w:style>
  <w:style w:type="paragraph" w:customStyle="1" w:styleId="Doc-comment">
    <w:name w:val="Doc-comment"/>
    <w:basedOn w:val="Normal"/>
    <w:next w:val="Doc-text2"/>
    <w:qFormat/>
    <w:rsid w:val="00796319"/>
    <w:pPr>
      <w:tabs>
        <w:tab w:val="left" w:pos="1622"/>
      </w:tabs>
      <w:ind w:left="1622" w:hanging="363"/>
    </w:pPr>
    <w:rPr>
      <w:rFonts w:ascii="Calibri" w:eastAsiaTheme="minorHAnsi" w:hAnsi="Calibri" w:cs="Calibri"/>
      <w:i/>
      <w:sz w:val="22"/>
      <w:szCs w:val="22"/>
    </w:rPr>
  </w:style>
  <w:style w:type="character" w:styleId="UnresolvedMention">
    <w:name w:val="Unresolved Mention"/>
    <w:basedOn w:val="DefaultParagraphFont"/>
    <w:uiPriority w:val="99"/>
    <w:semiHidden/>
    <w:unhideWhenUsed/>
    <w:rsid w:val="00D2271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255507">
      <w:bodyDiv w:val="1"/>
      <w:marLeft w:val="0"/>
      <w:marRight w:val="0"/>
      <w:marTop w:val="0"/>
      <w:marBottom w:val="0"/>
      <w:divBdr>
        <w:top w:val="none" w:sz="0" w:space="0" w:color="auto"/>
        <w:left w:val="none" w:sz="0" w:space="0" w:color="auto"/>
        <w:bottom w:val="none" w:sz="0" w:space="0" w:color="auto"/>
        <w:right w:val="none" w:sz="0" w:space="0" w:color="auto"/>
      </w:divBdr>
    </w:div>
    <w:div w:id="123621516">
      <w:bodyDiv w:val="1"/>
      <w:marLeft w:val="0"/>
      <w:marRight w:val="0"/>
      <w:marTop w:val="0"/>
      <w:marBottom w:val="0"/>
      <w:divBdr>
        <w:top w:val="none" w:sz="0" w:space="0" w:color="auto"/>
        <w:left w:val="none" w:sz="0" w:space="0" w:color="auto"/>
        <w:bottom w:val="none" w:sz="0" w:space="0" w:color="auto"/>
        <w:right w:val="none" w:sz="0" w:space="0" w:color="auto"/>
      </w:divBdr>
    </w:div>
    <w:div w:id="219902245">
      <w:bodyDiv w:val="1"/>
      <w:marLeft w:val="0"/>
      <w:marRight w:val="0"/>
      <w:marTop w:val="0"/>
      <w:marBottom w:val="0"/>
      <w:divBdr>
        <w:top w:val="none" w:sz="0" w:space="0" w:color="auto"/>
        <w:left w:val="none" w:sz="0" w:space="0" w:color="auto"/>
        <w:bottom w:val="none" w:sz="0" w:space="0" w:color="auto"/>
        <w:right w:val="none" w:sz="0" w:space="0" w:color="auto"/>
      </w:divBdr>
      <w:divsChild>
        <w:div w:id="1630283422">
          <w:marLeft w:val="288"/>
          <w:marRight w:val="0"/>
          <w:marTop w:val="120"/>
          <w:marBottom w:val="0"/>
          <w:divBdr>
            <w:top w:val="none" w:sz="0" w:space="0" w:color="auto"/>
            <w:left w:val="none" w:sz="0" w:space="0" w:color="auto"/>
            <w:bottom w:val="none" w:sz="0" w:space="0" w:color="auto"/>
            <w:right w:val="none" w:sz="0" w:space="0" w:color="auto"/>
          </w:divBdr>
        </w:div>
      </w:divsChild>
    </w:div>
    <w:div w:id="235091081">
      <w:bodyDiv w:val="1"/>
      <w:marLeft w:val="0"/>
      <w:marRight w:val="0"/>
      <w:marTop w:val="0"/>
      <w:marBottom w:val="0"/>
      <w:divBdr>
        <w:top w:val="none" w:sz="0" w:space="0" w:color="auto"/>
        <w:left w:val="none" w:sz="0" w:space="0" w:color="auto"/>
        <w:bottom w:val="none" w:sz="0" w:space="0" w:color="auto"/>
        <w:right w:val="none" w:sz="0" w:space="0" w:color="auto"/>
      </w:divBdr>
    </w:div>
    <w:div w:id="242448390">
      <w:bodyDiv w:val="1"/>
      <w:marLeft w:val="0"/>
      <w:marRight w:val="0"/>
      <w:marTop w:val="0"/>
      <w:marBottom w:val="0"/>
      <w:divBdr>
        <w:top w:val="none" w:sz="0" w:space="0" w:color="auto"/>
        <w:left w:val="none" w:sz="0" w:space="0" w:color="auto"/>
        <w:bottom w:val="none" w:sz="0" w:space="0" w:color="auto"/>
        <w:right w:val="none" w:sz="0" w:space="0" w:color="auto"/>
      </w:divBdr>
    </w:div>
    <w:div w:id="283385663">
      <w:bodyDiv w:val="1"/>
      <w:marLeft w:val="0"/>
      <w:marRight w:val="0"/>
      <w:marTop w:val="0"/>
      <w:marBottom w:val="0"/>
      <w:divBdr>
        <w:top w:val="none" w:sz="0" w:space="0" w:color="auto"/>
        <w:left w:val="none" w:sz="0" w:space="0" w:color="auto"/>
        <w:bottom w:val="none" w:sz="0" w:space="0" w:color="auto"/>
        <w:right w:val="none" w:sz="0" w:space="0" w:color="auto"/>
      </w:divBdr>
    </w:div>
    <w:div w:id="305478278">
      <w:bodyDiv w:val="1"/>
      <w:marLeft w:val="0"/>
      <w:marRight w:val="0"/>
      <w:marTop w:val="0"/>
      <w:marBottom w:val="0"/>
      <w:divBdr>
        <w:top w:val="none" w:sz="0" w:space="0" w:color="auto"/>
        <w:left w:val="none" w:sz="0" w:space="0" w:color="auto"/>
        <w:bottom w:val="none" w:sz="0" w:space="0" w:color="auto"/>
        <w:right w:val="none" w:sz="0" w:space="0" w:color="auto"/>
      </w:divBdr>
    </w:div>
    <w:div w:id="319888772">
      <w:bodyDiv w:val="1"/>
      <w:marLeft w:val="0"/>
      <w:marRight w:val="0"/>
      <w:marTop w:val="0"/>
      <w:marBottom w:val="0"/>
      <w:divBdr>
        <w:top w:val="none" w:sz="0" w:space="0" w:color="auto"/>
        <w:left w:val="none" w:sz="0" w:space="0" w:color="auto"/>
        <w:bottom w:val="none" w:sz="0" w:space="0" w:color="auto"/>
        <w:right w:val="none" w:sz="0" w:space="0" w:color="auto"/>
      </w:divBdr>
      <w:divsChild>
        <w:div w:id="477764620">
          <w:marLeft w:val="1166"/>
          <w:marRight w:val="0"/>
          <w:marTop w:val="77"/>
          <w:marBottom w:val="0"/>
          <w:divBdr>
            <w:top w:val="none" w:sz="0" w:space="0" w:color="auto"/>
            <w:left w:val="none" w:sz="0" w:space="0" w:color="auto"/>
            <w:bottom w:val="none" w:sz="0" w:space="0" w:color="auto"/>
            <w:right w:val="none" w:sz="0" w:space="0" w:color="auto"/>
          </w:divBdr>
        </w:div>
      </w:divsChild>
    </w:div>
    <w:div w:id="353384083">
      <w:bodyDiv w:val="1"/>
      <w:marLeft w:val="0"/>
      <w:marRight w:val="0"/>
      <w:marTop w:val="0"/>
      <w:marBottom w:val="0"/>
      <w:divBdr>
        <w:top w:val="none" w:sz="0" w:space="0" w:color="auto"/>
        <w:left w:val="none" w:sz="0" w:space="0" w:color="auto"/>
        <w:bottom w:val="none" w:sz="0" w:space="0" w:color="auto"/>
        <w:right w:val="none" w:sz="0" w:space="0" w:color="auto"/>
      </w:divBdr>
    </w:div>
    <w:div w:id="378283334">
      <w:bodyDiv w:val="1"/>
      <w:marLeft w:val="0"/>
      <w:marRight w:val="0"/>
      <w:marTop w:val="0"/>
      <w:marBottom w:val="0"/>
      <w:divBdr>
        <w:top w:val="none" w:sz="0" w:space="0" w:color="auto"/>
        <w:left w:val="none" w:sz="0" w:space="0" w:color="auto"/>
        <w:bottom w:val="none" w:sz="0" w:space="0" w:color="auto"/>
        <w:right w:val="none" w:sz="0" w:space="0" w:color="auto"/>
      </w:divBdr>
      <w:divsChild>
        <w:div w:id="386876944">
          <w:marLeft w:val="274"/>
          <w:marRight w:val="0"/>
          <w:marTop w:val="0"/>
          <w:marBottom w:val="0"/>
          <w:divBdr>
            <w:top w:val="none" w:sz="0" w:space="0" w:color="auto"/>
            <w:left w:val="none" w:sz="0" w:space="0" w:color="auto"/>
            <w:bottom w:val="none" w:sz="0" w:space="0" w:color="auto"/>
            <w:right w:val="none" w:sz="0" w:space="0" w:color="auto"/>
          </w:divBdr>
        </w:div>
        <w:div w:id="1591696261">
          <w:marLeft w:val="274"/>
          <w:marRight w:val="0"/>
          <w:marTop w:val="0"/>
          <w:marBottom w:val="0"/>
          <w:divBdr>
            <w:top w:val="none" w:sz="0" w:space="0" w:color="auto"/>
            <w:left w:val="none" w:sz="0" w:space="0" w:color="auto"/>
            <w:bottom w:val="none" w:sz="0" w:space="0" w:color="auto"/>
            <w:right w:val="none" w:sz="0" w:space="0" w:color="auto"/>
          </w:divBdr>
        </w:div>
      </w:divsChild>
    </w:div>
    <w:div w:id="390033033">
      <w:bodyDiv w:val="1"/>
      <w:marLeft w:val="0"/>
      <w:marRight w:val="0"/>
      <w:marTop w:val="0"/>
      <w:marBottom w:val="0"/>
      <w:divBdr>
        <w:top w:val="none" w:sz="0" w:space="0" w:color="auto"/>
        <w:left w:val="none" w:sz="0" w:space="0" w:color="auto"/>
        <w:bottom w:val="none" w:sz="0" w:space="0" w:color="auto"/>
        <w:right w:val="none" w:sz="0" w:space="0" w:color="auto"/>
      </w:divBdr>
    </w:div>
    <w:div w:id="491918552">
      <w:bodyDiv w:val="1"/>
      <w:marLeft w:val="0"/>
      <w:marRight w:val="0"/>
      <w:marTop w:val="0"/>
      <w:marBottom w:val="0"/>
      <w:divBdr>
        <w:top w:val="none" w:sz="0" w:space="0" w:color="auto"/>
        <w:left w:val="none" w:sz="0" w:space="0" w:color="auto"/>
        <w:bottom w:val="none" w:sz="0" w:space="0" w:color="auto"/>
        <w:right w:val="none" w:sz="0" w:space="0" w:color="auto"/>
      </w:divBdr>
    </w:div>
    <w:div w:id="513424120">
      <w:bodyDiv w:val="1"/>
      <w:marLeft w:val="0"/>
      <w:marRight w:val="0"/>
      <w:marTop w:val="0"/>
      <w:marBottom w:val="0"/>
      <w:divBdr>
        <w:top w:val="none" w:sz="0" w:space="0" w:color="auto"/>
        <w:left w:val="none" w:sz="0" w:space="0" w:color="auto"/>
        <w:bottom w:val="none" w:sz="0" w:space="0" w:color="auto"/>
        <w:right w:val="none" w:sz="0" w:space="0" w:color="auto"/>
      </w:divBdr>
    </w:div>
    <w:div w:id="542910244">
      <w:bodyDiv w:val="1"/>
      <w:marLeft w:val="0"/>
      <w:marRight w:val="0"/>
      <w:marTop w:val="0"/>
      <w:marBottom w:val="0"/>
      <w:divBdr>
        <w:top w:val="none" w:sz="0" w:space="0" w:color="auto"/>
        <w:left w:val="none" w:sz="0" w:space="0" w:color="auto"/>
        <w:bottom w:val="none" w:sz="0" w:space="0" w:color="auto"/>
        <w:right w:val="none" w:sz="0" w:space="0" w:color="auto"/>
      </w:divBdr>
    </w:div>
    <w:div w:id="544218552">
      <w:bodyDiv w:val="1"/>
      <w:marLeft w:val="0"/>
      <w:marRight w:val="0"/>
      <w:marTop w:val="0"/>
      <w:marBottom w:val="0"/>
      <w:divBdr>
        <w:top w:val="none" w:sz="0" w:space="0" w:color="auto"/>
        <w:left w:val="none" w:sz="0" w:space="0" w:color="auto"/>
        <w:bottom w:val="none" w:sz="0" w:space="0" w:color="auto"/>
        <w:right w:val="none" w:sz="0" w:space="0" w:color="auto"/>
      </w:divBdr>
      <w:divsChild>
        <w:div w:id="14111705">
          <w:marLeft w:val="1080"/>
          <w:marRight w:val="0"/>
          <w:marTop w:val="0"/>
          <w:marBottom w:val="0"/>
          <w:divBdr>
            <w:top w:val="none" w:sz="0" w:space="0" w:color="auto"/>
            <w:left w:val="none" w:sz="0" w:space="0" w:color="auto"/>
            <w:bottom w:val="none" w:sz="0" w:space="0" w:color="auto"/>
            <w:right w:val="none" w:sz="0" w:space="0" w:color="auto"/>
          </w:divBdr>
        </w:div>
        <w:div w:id="81685592">
          <w:marLeft w:val="1080"/>
          <w:marRight w:val="0"/>
          <w:marTop w:val="0"/>
          <w:marBottom w:val="0"/>
          <w:divBdr>
            <w:top w:val="none" w:sz="0" w:space="0" w:color="auto"/>
            <w:left w:val="none" w:sz="0" w:space="0" w:color="auto"/>
            <w:bottom w:val="none" w:sz="0" w:space="0" w:color="auto"/>
            <w:right w:val="none" w:sz="0" w:space="0" w:color="auto"/>
          </w:divBdr>
        </w:div>
        <w:div w:id="463040073">
          <w:marLeft w:val="1080"/>
          <w:marRight w:val="0"/>
          <w:marTop w:val="0"/>
          <w:marBottom w:val="0"/>
          <w:divBdr>
            <w:top w:val="none" w:sz="0" w:space="0" w:color="auto"/>
            <w:left w:val="none" w:sz="0" w:space="0" w:color="auto"/>
            <w:bottom w:val="none" w:sz="0" w:space="0" w:color="auto"/>
            <w:right w:val="none" w:sz="0" w:space="0" w:color="auto"/>
          </w:divBdr>
        </w:div>
        <w:div w:id="863130311">
          <w:marLeft w:val="1080"/>
          <w:marRight w:val="0"/>
          <w:marTop w:val="0"/>
          <w:marBottom w:val="0"/>
          <w:divBdr>
            <w:top w:val="none" w:sz="0" w:space="0" w:color="auto"/>
            <w:left w:val="none" w:sz="0" w:space="0" w:color="auto"/>
            <w:bottom w:val="none" w:sz="0" w:space="0" w:color="auto"/>
            <w:right w:val="none" w:sz="0" w:space="0" w:color="auto"/>
          </w:divBdr>
        </w:div>
        <w:div w:id="1107429866">
          <w:marLeft w:val="288"/>
          <w:marRight w:val="0"/>
          <w:marTop w:val="120"/>
          <w:marBottom w:val="0"/>
          <w:divBdr>
            <w:top w:val="none" w:sz="0" w:space="0" w:color="auto"/>
            <w:left w:val="none" w:sz="0" w:space="0" w:color="auto"/>
            <w:bottom w:val="none" w:sz="0" w:space="0" w:color="auto"/>
            <w:right w:val="none" w:sz="0" w:space="0" w:color="auto"/>
          </w:divBdr>
        </w:div>
        <w:div w:id="1241214993">
          <w:marLeft w:val="1080"/>
          <w:marRight w:val="0"/>
          <w:marTop w:val="0"/>
          <w:marBottom w:val="0"/>
          <w:divBdr>
            <w:top w:val="none" w:sz="0" w:space="0" w:color="auto"/>
            <w:left w:val="none" w:sz="0" w:space="0" w:color="auto"/>
            <w:bottom w:val="none" w:sz="0" w:space="0" w:color="auto"/>
            <w:right w:val="none" w:sz="0" w:space="0" w:color="auto"/>
          </w:divBdr>
        </w:div>
        <w:div w:id="1810708405">
          <w:marLeft w:val="1080"/>
          <w:marRight w:val="0"/>
          <w:marTop w:val="0"/>
          <w:marBottom w:val="0"/>
          <w:divBdr>
            <w:top w:val="none" w:sz="0" w:space="0" w:color="auto"/>
            <w:left w:val="none" w:sz="0" w:space="0" w:color="auto"/>
            <w:bottom w:val="none" w:sz="0" w:space="0" w:color="auto"/>
            <w:right w:val="none" w:sz="0" w:space="0" w:color="auto"/>
          </w:divBdr>
        </w:div>
      </w:divsChild>
    </w:div>
    <w:div w:id="574441203">
      <w:bodyDiv w:val="1"/>
      <w:marLeft w:val="0"/>
      <w:marRight w:val="0"/>
      <w:marTop w:val="0"/>
      <w:marBottom w:val="0"/>
      <w:divBdr>
        <w:top w:val="none" w:sz="0" w:space="0" w:color="auto"/>
        <w:left w:val="none" w:sz="0" w:space="0" w:color="auto"/>
        <w:bottom w:val="none" w:sz="0" w:space="0" w:color="auto"/>
        <w:right w:val="none" w:sz="0" w:space="0" w:color="auto"/>
      </w:divBdr>
      <w:divsChild>
        <w:div w:id="1580170556">
          <w:marLeft w:val="0"/>
          <w:marRight w:val="0"/>
          <w:marTop w:val="0"/>
          <w:marBottom w:val="0"/>
          <w:divBdr>
            <w:top w:val="none" w:sz="0" w:space="0" w:color="auto"/>
            <w:left w:val="none" w:sz="0" w:space="0" w:color="auto"/>
            <w:bottom w:val="none" w:sz="0" w:space="0" w:color="auto"/>
            <w:right w:val="none" w:sz="0" w:space="0" w:color="auto"/>
          </w:divBdr>
        </w:div>
      </w:divsChild>
    </w:div>
    <w:div w:id="583147512">
      <w:bodyDiv w:val="1"/>
      <w:marLeft w:val="0"/>
      <w:marRight w:val="0"/>
      <w:marTop w:val="0"/>
      <w:marBottom w:val="0"/>
      <w:divBdr>
        <w:top w:val="none" w:sz="0" w:space="0" w:color="auto"/>
        <w:left w:val="none" w:sz="0" w:space="0" w:color="auto"/>
        <w:bottom w:val="none" w:sz="0" w:space="0" w:color="auto"/>
        <w:right w:val="none" w:sz="0" w:space="0" w:color="auto"/>
      </w:divBdr>
    </w:div>
    <w:div w:id="625697513">
      <w:bodyDiv w:val="1"/>
      <w:marLeft w:val="0"/>
      <w:marRight w:val="0"/>
      <w:marTop w:val="0"/>
      <w:marBottom w:val="0"/>
      <w:divBdr>
        <w:top w:val="none" w:sz="0" w:space="0" w:color="auto"/>
        <w:left w:val="none" w:sz="0" w:space="0" w:color="auto"/>
        <w:bottom w:val="none" w:sz="0" w:space="0" w:color="auto"/>
        <w:right w:val="none" w:sz="0" w:space="0" w:color="auto"/>
      </w:divBdr>
    </w:div>
    <w:div w:id="644815928">
      <w:bodyDiv w:val="1"/>
      <w:marLeft w:val="0"/>
      <w:marRight w:val="0"/>
      <w:marTop w:val="0"/>
      <w:marBottom w:val="0"/>
      <w:divBdr>
        <w:top w:val="none" w:sz="0" w:space="0" w:color="auto"/>
        <w:left w:val="none" w:sz="0" w:space="0" w:color="auto"/>
        <w:bottom w:val="none" w:sz="0" w:space="0" w:color="auto"/>
        <w:right w:val="none" w:sz="0" w:space="0" w:color="auto"/>
      </w:divBdr>
      <w:divsChild>
        <w:div w:id="1205288965">
          <w:marLeft w:val="274"/>
          <w:marRight w:val="0"/>
          <w:marTop w:val="0"/>
          <w:marBottom w:val="0"/>
          <w:divBdr>
            <w:top w:val="none" w:sz="0" w:space="0" w:color="auto"/>
            <w:left w:val="none" w:sz="0" w:space="0" w:color="auto"/>
            <w:bottom w:val="none" w:sz="0" w:space="0" w:color="auto"/>
            <w:right w:val="none" w:sz="0" w:space="0" w:color="auto"/>
          </w:divBdr>
        </w:div>
        <w:div w:id="2147382455">
          <w:marLeft w:val="274"/>
          <w:marRight w:val="0"/>
          <w:marTop w:val="0"/>
          <w:marBottom w:val="0"/>
          <w:divBdr>
            <w:top w:val="none" w:sz="0" w:space="0" w:color="auto"/>
            <w:left w:val="none" w:sz="0" w:space="0" w:color="auto"/>
            <w:bottom w:val="none" w:sz="0" w:space="0" w:color="auto"/>
            <w:right w:val="none" w:sz="0" w:space="0" w:color="auto"/>
          </w:divBdr>
        </w:div>
      </w:divsChild>
    </w:div>
    <w:div w:id="709647334">
      <w:bodyDiv w:val="1"/>
      <w:marLeft w:val="0"/>
      <w:marRight w:val="0"/>
      <w:marTop w:val="0"/>
      <w:marBottom w:val="0"/>
      <w:divBdr>
        <w:top w:val="none" w:sz="0" w:space="0" w:color="auto"/>
        <w:left w:val="none" w:sz="0" w:space="0" w:color="auto"/>
        <w:bottom w:val="none" w:sz="0" w:space="0" w:color="auto"/>
        <w:right w:val="none" w:sz="0" w:space="0" w:color="auto"/>
      </w:divBdr>
    </w:div>
    <w:div w:id="765349894">
      <w:bodyDiv w:val="1"/>
      <w:marLeft w:val="0"/>
      <w:marRight w:val="0"/>
      <w:marTop w:val="0"/>
      <w:marBottom w:val="0"/>
      <w:divBdr>
        <w:top w:val="none" w:sz="0" w:space="0" w:color="auto"/>
        <w:left w:val="none" w:sz="0" w:space="0" w:color="auto"/>
        <w:bottom w:val="none" w:sz="0" w:space="0" w:color="auto"/>
        <w:right w:val="none" w:sz="0" w:space="0" w:color="auto"/>
      </w:divBdr>
    </w:div>
    <w:div w:id="770049246">
      <w:bodyDiv w:val="1"/>
      <w:marLeft w:val="0"/>
      <w:marRight w:val="0"/>
      <w:marTop w:val="0"/>
      <w:marBottom w:val="0"/>
      <w:divBdr>
        <w:top w:val="none" w:sz="0" w:space="0" w:color="auto"/>
        <w:left w:val="none" w:sz="0" w:space="0" w:color="auto"/>
        <w:bottom w:val="none" w:sz="0" w:space="0" w:color="auto"/>
        <w:right w:val="none" w:sz="0" w:space="0" w:color="auto"/>
      </w:divBdr>
    </w:div>
    <w:div w:id="789981698">
      <w:bodyDiv w:val="1"/>
      <w:marLeft w:val="0"/>
      <w:marRight w:val="0"/>
      <w:marTop w:val="0"/>
      <w:marBottom w:val="0"/>
      <w:divBdr>
        <w:top w:val="none" w:sz="0" w:space="0" w:color="auto"/>
        <w:left w:val="none" w:sz="0" w:space="0" w:color="auto"/>
        <w:bottom w:val="none" w:sz="0" w:space="0" w:color="auto"/>
        <w:right w:val="none" w:sz="0" w:space="0" w:color="auto"/>
      </w:divBdr>
      <w:divsChild>
        <w:div w:id="1952935585">
          <w:marLeft w:val="1166"/>
          <w:marRight w:val="0"/>
          <w:marTop w:val="77"/>
          <w:marBottom w:val="0"/>
          <w:divBdr>
            <w:top w:val="none" w:sz="0" w:space="0" w:color="auto"/>
            <w:left w:val="none" w:sz="0" w:space="0" w:color="auto"/>
            <w:bottom w:val="none" w:sz="0" w:space="0" w:color="auto"/>
            <w:right w:val="none" w:sz="0" w:space="0" w:color="auto"/>
          </w:divBdr>
        </w:div>
      </w:divsChild>
    </w:div>
    <w:div w:id="794830887">
      <w:bodyDiv w:val="1"/>
      <w:marLeft w:val="0"/>
      <w:marRight w:val="0"/>
      <w:marTop w:val="0"/>
      <w:marBottom w:val="0"/>
      <w:divBdr>
        <w:top w:val="none" w:sz="0" w:space="0" w:color="auto"/>
        <w:left w:val="none" w:sz="0" w:space="0" w:color="auto"/>
        <w:bottom w:val="none" w:sz="0" w:space="0" w:color="auto"/>
        <w:right w:val="none" w:sz="0" w:space="0" w:color="auto"/>
      </w:divBdr>
    </w:div>
    <w:div w:id="857428224">
      <w:bodyDiv w:val="1"/>
      <w:marLeft w:val="0"/>
      <w:marRight w:val="0"/>
      <w:marTop w:val="0"/>
      <w:marBottom w:val="0"/>
      <w:divBdr>
        <w:top w:val="none" w:sz="0" w:space="0" w:color="auto"/>
        <w:left w:val="none" w:sz="0" w:space="0" w:color="auto"/>
        <w:bottom w:val="none" w:sz="0" w:space="0" w:color="auto"/>
        <w:right w:val="none" w:sz="0" w:space="0" w:color="auto"/>
      </w:divBdr>
    </w:div>
    <w:div w:id="956762269">
      <w:bodyDiv w:val="1"/>
      <w:marLeft w:val="0"/>
      <w:marRight w:val="0"/>
      <w:marTop w:val="0"/>
      <w:marBottom w:val="0"/>
      <w:divBdr>
        <w:top w:val="none" w:sz="0" w:space="0" w:color="auto"/>
        <w:left w:val="none" w:sz="0" w:space="0" w:color="auto"/>
        <w:bottom w:val="none" w:sz="0" w:space="0" w:color="auto"/>
        <w:right w:val="none" w:sz="0" w:space="0" w:color="auto"/>
      </w:divBdr>
    </w:div>
    <w:div w:id="965088305">
      <w:bodyDiv w:val="1"/>
      <w:marLeft w:val="0"/>
      <w:marRight w:val="0"/>
      <w:marTop w:val="0"/>
      <w:marBottom w:val="0"/>
      <w:divBdr>
        <w:top w:val="none" w:sz="0" w:space="0" w:color="auto"/>
        <w:left w:val="none" w:sz="0" w:space="0" w:color="auto"/>
        <w:bottom w:val="none" w:sz="0" w:space="0" w:color="auto"/>
        <w:right w:val="none" w:sz="0" w:space="0" w:color="auto"/>
      </w:divBdr>
    </w:div>
    <w:div w:id="1033965943">
      <w:bodyDiv w:val="1"/>
      <w:marLeft w:val="0"/>
      <w:marRight w:val="0"/>
      <w:marTop w:val="0"/>
      <w:marBottom w:val="0"/>
      <w:divBdr>
        <w:top w:val="none" w:sz="0" w:space="0" w:color="auto"/>
        <w:left w:val="none" w:sz="0" w:space="0" w:color="auto"/>
        <w:bottom w:val="none" w:sz="0" w:space="0" w:color="auto"/>
        <w:right w:val="none" w:sz="0" w:space="0" w:color="auto"/>
      </w:divBdr>
    </w:div>
    <w:div w:id="1068117548">
      <w:bodyDiv w:val="1"/>
      <w:marLeft w:val="0"/>
      <w:marRight w:val="0"/>
      <w:marTop w:val="0"/>
      <w:marBottom w:val="0"/>
      <w:divBdr>
        <w:top w:val="none" w:sz="0" w:space="0" w:color="auto"/>
        <w:left w:val="none" w:sz="0" w:space="0" w:color="auto"/>
        <w:bottom w:val="none" w:sz="0" w:space="0" w:color="auto"/>
        <w:right w:val="none" w:sz="0" w:space="0" w:color="auto"/>
      </w:divBdr>
    </w:div>
    <w:div w:id="1104569610">
      <w:bodyDiv w:val="1"/>
      <w:marLeft w:val="0"/>
      <w:marRight w:val="0"/>
      <w:marTop w:val="0"/>
      <w:marBottom w:val="0"/>
      <w:divBdr>
        <w:top w:val="none" w:sz="0" w:space="0" w:color="auto"/>
        <w:left w:val="none" w:sz="0" w:space="0" w:color="auto"/>
        <w:bottom w:val="none" w:sz="0" w:space="0" w:color="auto"/>
        <w:right w:val="none" w:sz="0" w:space="0" w:color="auto"/>
      </w:divBdr>
    </w:div>
    <w:div w:id="1122111090">
      <w:bodyDiv w:val="1"/>
      <w:marLeft w:val="0"/>
      <w:marRight w:val="0"/>
      <w:marTop w:val="0"/>
      <w:marBottom w:val="0"/>
      <w:divBdr>
        <w:top w:val="none" w:sz="0" w:space="0" w:color="auto"/>
        <w:left w:val="none" w:sz="0" w:space="0" w:color="auto"/>
        <w:bottom w:val="none" w:sz="0" w:space="0" w:color="auto"/>
        <w:right w:val="none" w:sz="0" w:space="0" w:color="auto"/>
      </w:divBdr>
    </w:div>
    <w:div w:id="1152138618">
      <w:bodyDiv w:val="1"/>
      <w:marLeft w:val="0"/>
      <w:marRight w:val="0"/>
      <w:marTop w:val="0"/>
      <w:marBottom w:val="0"/>
      <w:divBdr>
        <w:top w:val="none" w:sz="0" w:space="0" w:color="auto"/>
        <w:left w:val="none" w:sz="0" w:space="0" w:color="auto"/>
        <w:bottom w:val="none" w:sz="0" w:space="0" w:color="auto"/>
        <w:right w:val="none" w:sz="0" w:space="0" w:color="auto"/>
      </w:divBdr>
    </w:div>
    <w:div w:id="1199052041">
      <w:bodyDiv w:val="1"/>
      <w:marLeft w:val="0"/>
      <w:marRight w:val="0"/>
      <w:marTop w:val="0"/>
      <w:marBottom w:val="0"/>
      <w:divBdr>
        <w:top w:val="none" w:sz="0" w:space="0" w:color="auto"/>
        <w:left w:val="none" w:sz="0" w:space="0" w:color="auto"/>
        <w:bottom w:val="none" w:sz="0" w:space="0" w:color="auto"/>
        <w:right w:val="none" w:sz="0" w:space="0" w:color="auto"/>
      </w:divBdr>
    </w:div>
    <w:div w:id="1224833425">
      <w:bodyDiv w:val="1"/>
      <w:marLeft w:val="0"/>
      <w:marRight w:val="0"/>
      <w:marTop w:val="0"/>
      <w:marBottom w:val="0"/>
      <w:divBdr>
        <w:top w:val="none" w:sz="0" w:space="0" w:color="auto"/>
        <w:left w:val="none" w:sz="0" w:space="0" w:color="auto"/>
        <w:bottom w:val="none" w:sz="0" w:space="0" w:color="auto"/>
        <w:right w:val="none" w:sz="0" w:space="0" w:color="auto"/>
      </w:divBdr>
    </w:div>
    <w:div w:id="1281765476">
      <w:bodyDiv w:val="1"/>
      <w:marLeft w:val="0"/>
      <w:marRight w:val="0"/>
      <w:marTop w:val="0"/>
      <w:marBottom w:val="0"/>
      <w:divBdr>
        <w:top w:val="none" w:sz="0" w:space="0" w:color="auto"/>
        <w:left w:val="none" w:sz="0" w:space="0" w:color="auto"/>
        <w:bottom w:val="none" w:sz="0" w:space="0" w:color="auto"/>
        <w:right w:val="none" w:sz="0" w:space="0" w:color="auto"/>
      </w:divBdr>
      <w:divsChild>
        <w:div w:id="135922355">
          <w:marLeft w:val="274"/>
          <w:marRight w:val="0"/>
          <w:marTop w:val="0"/>
          <w:marBottom w:val="0"/>
          <w:divBdr>
            <w:top w:val="none" w:sz="0" w:space="0" w:color="auto"/>
            <w:left w:val="none" w:sz="0" w:space="0" w:color="auto"/>
            <w:bottom w:val="none" w:sz="0" w:space="0" w:color="auto"/>
            <w:right w:val="none" w:sz="0" w:space="0" w:color="auto"/>
          </w:divBdr>
        </w:div>
        <w:div w:id="202063738">
          <w:marLeft w:val="274"/>
          <w:marRight w:val="0"/>
          <w:marTop w:val="0"/>
          <w:marBottom w:val="0"/>
          <w:divBdr>
            <w:top w:val="none" w:sz="0" w:space="0" w:color="auto"/>
            <w:left w:val="none" w:sz="0" w:space="0" w:color="auto"/>
            <w:bottom w:val="none" w:sz="0" w:space="0" w:color="auto"/>
            <w:right w:val="none" w:sz="0" w:space="0" w:color="auto"/>
          </w:divBdr>
        </w:div>
        <w:div w:id="1396932203">
          <w:marLeft w:val="274"/>
          <w:marRight w:val="0"/>
          <w:marTop w:val="0"/>
          <w:marBottom w:val="0"/>
          <w:divBdr>
            <w:top w:val="none" w:sz="0" w:space="0" w:color="auto"/>
            <w:left w:val="none" w:sz="0" w:space="0" w:color="auto"/>
            <w:bottom w:val="none" w:sz="0" w:space="0" w:color="auto"/>
            <w:right w:val="none" w:sz="0" w:space="0" w:color="auto"/>
          </w:divBdr>
        </w:div>
      </w:divsChild>
    </w:div>
    <w:div w:id="1299217455">
      <w:bodyDiv w:val="1"/>
      <w:marLeft w:val="0"/>
      <w:marRight w:val="0"/>
      <w:marTop w:val="0"/>
      <w:marBottom w:val="0"/>
      <w:divBdr>
        <w:top w:val="none" w:sz="0" w:space="0" w:color="auto"/>
        <w:left w:val="none" w:sz="0" w:space="0" w:color="auto"/>
        <w:bottom w:val="none" w:sz="0" w:space="0" w:color="auto"/>
        <w:right w:val="none" w:sz="0" w:space="0" w:color="auto"/>
      </w:divBdr>
    </w:div>
    <w:div w:id="1310479903">
      <w:bodyDiv w:val="1"/>
      <w:marLeft w:val="0"/>
      <w:marRight w:val="0"/>
      <w:marTop w:val="0"/>
      <w:marBottom w:val="0"/>
      <w:divBdr>
        <w:top w:val="none" w:sz="0" w:space="0" w:color="auto"/>
        <w:left w:val="none" w:sz="0" w:space="0" w:color="auto"/>
        <w:bottom w:val="none" w:sz="0" w:space="0" w:color="auto"/>
        <w:right w:val="none" w:sz="0" w:space="0" w:color="auto"/>
      </w:divBdr>
    </w:div>
    <w:div w:id="1345551372">
      <w:bodyDiv w:val="1"/>
      <w:marLeft w:val="0"/>
      <w:marRight w:val="0"/>
      <w:marTop w:val="0"/>
      <w:marBottom w:val="0"/>
      <w:divBdr>
        <w:top w:val="none" w:sz="0" w:space="0" w:color="auto"/>
        <w:left w:val="none" w:sz="0" w:space="0" w:color="auto"/>
        <w:bottom w:val="none" w:sz="0" w:space="0" w:color="auto"/>
        <w:right w:val="none" w:sz="0" w:space="0" w:color="auto"/>
      </w:divBdr>
      <w:divsChild>
        <w:div w:id="1201867575">
          <w:marLeft w:val="274"/>
          <w:marRight w:val="0"/>
          <w:marTop w:val="0"/>
          <w:marBottom w:val="0"/>
          <w:divBdr>
            <w:top w:val="none" w:sz="0" w:space="0" w:color="auto"/>
            <w:left w:val="none" w:sz="0" w:space="0" w:color="auto"/>
            <w:bottom w:val="none" w:sz="0" w:space="0" w:color="auto"/>
            <w:right w:val="none" w:sz="0" w:space="0" w:color="auto"/>
          </w:divBdr>
        </w:div>
      </w:divsChild>
    </w:div>
    <w:div w:id="1360397869">
      <w:bodyDiv w:val="1"/>
      <w:marLeft w:val="0"/>
      <w:marRight w:val="0"/>
      <w:marTop w:val="0"/>
      <w:marBottom w:val="0"/>
      <w:divBdr>
        <w:top w:val="none" w:sz="0" w:space="0" w:color="auto"/>
        <w:left w:val="none" w:sz="0" w:space="0" w:color="auto"/>
        <w:bottom w:val="none" w:sz="0" w:space="0" w:color="auto"/>
        <w:right w:val="none" w:sz="0" w:space="0" w:color="auto"/>
      </w:divBdr>
    </w:div>
    <w:div w:id="1378703434">
      <w:bodyDiv w:val="1"/>
      <w:marLeft w:val="0"/>
      <w:marRight w:val="0"/>
      <w:marTop w:val="0"/>
      <w:marBottom w:val="0"/>
      <w:divBdr>
        <w:top w:val="none" w:sz="0" w:space="0" w:color="auto"/>
        <w:left w:val="none" w:sz="0" w:space="0" w:color="auto"/>
        <w:bottom w:val="none" w:sz="0" w:space="0" w:color="auto"/>
        <w:right w:val="none" w:sz="0" w:space="0" w:color="auto"/>
      </w:divBdr>
      <w:divsChild>
        <w:div w:id="1665355824">
          <w:marLeft w:val="0"/>
          <w:marRight w:val="0"/>
          <w:marTop w:val="0"/>
          <w:marBottom w:val="0"/>
          <w:divBdr>
            <w:top w:val="none" w:sz="0" w:space="0" w:color="auto"/>
            <w:left w:val="none" w:sz="0" w:space="0" w:color="auto"/>
            <w:bottom w:val="none" w:sz="0" w:space="0" w:color="auto"/>
            <w:right w:val="none" w:sz="0" w:space="0" w:color="auto"/>
          </w:divBdr>
        </w:div>
      </w:divsChild>
    </w:div>
    <w:div w:id="1398281625">
      <w:bodyDiv w:val="1"/>
      <w:marLeft w:val="0"/>
      <w:marRight w:val="0"/>
      <w:marTop w:val="0"/>
      <w:marBottom w:val="0"/>
      <w:divBdr>
        <w:top w:val="none" w:sz="0" w:space="0" w:color="auto"/>
        <w:left w:val="none" w:sz="0" w:space="0" w:color="auto"/>
        <w:bottom w:val="none" w:sz="0" w:space="0" w:color="auto"/>
        <w:right w:val="none" w:sz="0" w:space="0" w:color="auto"/>
      </w:divBdr>
    </w:div>
    <w:div w:id="1405756361">
      <w:bodyDiv w:val="1"/>
      <w:marLeft w:val="0"/>
      <w:marRight w:val="0"/>
      <w:marTop w:val="0"/>
      <w:marBottom w:val="0"/>
      <w:divBdr>
        <w:top w:val="none" w:sz="0" w:space="0" w:color="auto"/>
        <w:left w:val="none" w:sz="0" w:space="0" w:color="auto"/>
        <w:bottom w:val="none" w:sz="0" w:space="0" w:color="auto"/>
        <w:right w:val="none" w:sz="0" w:space="0" w:color="auto"/>
      </w:divBdr>
    </w:div>
    <w:div w:id="1477145651">
      <w:bodyDiv w:val="1"/>
      <w:marLeft w:val="0"/>
      <w:marRight w:val="0"/>
      <w:marTop w:val="0"/>
      <w:marBottom w:val="0"/>
      <w:divBdr>
        <w:top w:val="none" w:sz="0" w:space="0" w:color="auto"/>
        <w:left w:val="none" w:sz="0" w:space="0" w:color="auto"/>
        <w:bottom w:val="none" w:sz="0" w:space="0" w:color="auto"/>
        <w:right w:val="none" w:sz="0" w:space="0" w:color="auto"/>
      </w:divBdr>
      <w:divsChild>
        <w:div w:id="351416733">
          <w:marLeft w:val="1166"/>
          <w:marRight w:val="0"/>
          <w:marTop w:val="77"/>
          <w:marBottom w:val="0"/>
          <w:divBdr>
            <w:top w:val="none" w:sz="0" w:space="0" w:color="auto"/>
            <w:left w:val="none" w:sz="0" w:space="0" w:color="auto"/>
            <w:bottom w:val="none" w:sz="0" w:space="0" w:color="auto"/>
            <w:right w:val="none" w:sz="0" w:space="0" w:color="auto"/>
          </w:divBdr>
        </w:div>
      </w:divsChild>
    </w:div>
    <w:div w:id="1496916017">
      <w:bodyDiv w:val="1"/>
      <w:marLeft w:val="0"/>
      <w:marRight w:val="0"/>
      <w:marTop w:val="0"/>
      <w:marBottom w:val="0"/>
      <w:divBdr>
        <w:top w:val="none" w:sz="0" w:space="0" w:color="auto"/>
        <w:left w:val="none" w:sz="0" w:space="0" w:color="auto"/>
        <w:bottom w:val="none" w:sz="0" w:space="0" w:color="auto"/>
        <w:right w:val="none" w:sz="0" w:space="0" w:color="auto"/>
      </w:divBdr>
    </w:div>
    <w:div w:id="1521817022">
      <w:bodyDiv w:val="1"/>
      <w:marLeft w:val="0"/>
      <w:marRight w:val="0"/>
      <w:marTop w:val="0"/>
      <w:marBottom w:val="0"/>
      <w:divBdr>
        <w:top w:val="none" w:sz="0" w:space="0" w:color="auto"/>
        <w:left w:val="none" w:sz="0" w:space="0" w:color="auto"/>
        <w:bottom w:val="none" w:sz="0" w:space="0" w:color="auto"/>
        <w:right w:val="none" w:sz="0" w:space="0" w:color="auto"/>
      </w:divBdr>
    </w:div>
    <w:div w:id="1531989533">
      <w:bodyDiv w:val="1"/>
      <w:marLeft w:val="0"/>
      <w:marRight w:val="0"/>
      <w:marTop w:val="0"/>
      <w:marBottom w:val="0"/>
      <w:divBdr>
        <w:top w:val="none" w:sz="0" w:space="0" w:color="auto"/>
        <w:left w:val="none" w:sz="0" w:space="0" w:color="auto"/>
        <w:bottom w:val="none" w:sz="0" w:space="0" w:color="auto"/>
        <w:right w:val="none" w:sz="0" w:space="0" w:color="auto"/>
      </w:divBdr>
    </w:div>
    <w:div w:id="1546526334">
      <w:bodyDiv w:val="1"/>
      <w:marLeft w:val="0"/>
      <w:marRight w:val="0"/>
      <w:marTop w:val="0"/>
      <w:marBottom w:val="0"/>
      <w:divBdr>
        <w:top w:val="none" w:sz="0" w:space="0" w:color="auto"/>
        <w:left w:val="none" w:sz="0" w:space="0" w:color="auto"/>
        <w:bottom w:val="none" w:sz="0" w:space="0" w:color="auto"/>
        <w:right w:val="none" w:sz="0" w:space="0" w:color="auto"/>
      </w:divBdr>
    </w:div>
    <w:div w:id="1563369089">
      <w:bodyDiv w:val="1"/>
      <w:marLeft w:val="0"/>
      <w:marRight w:val="0"/>
      <w:marTop w:val="0"/>
      <w:marBottom w:val="0"/>
      <w:divBdr>
        <w:top w:val="none" w:sz="0" w:space="0" w:color="auto"/>
        <w:left w:val="none" w:sz="0" w:space="0" w:color="auto"/>
        <w:bottom w:val="none" w:sz="0" w:space="0" w:color="auto"/>
        <w:right w:val="none" w:sz="0" w:space="0" w:color="auto"/>
      </w:divBdr>
    </w:div>
    <w:div w:id="1567375246">
      <w:bodyDiv w:val="1"/>
      <w:marLeft w:val="0"/>
      <w:marRight w:val="0"/>
      <w:marTop w:val="0"/>
      <w:marBottom w:val="0"/>
      <w:divBdr>
        <w:top w:val="none" w:sz="0" w:space="0" w:color="auto"/>
        <w:left w:val="none" w:sz="0" w:space="0" w:color="auto"/>
        <w:bottom w:val="none" w:sz="0" w:space="0" w:color="auto"/>
        <w:right w:val="none" w:sz="0" w:space="0" w:color="auto"/>
      </w:divBdr>
    </w:div>
    <w:div w:id="1616205893">
      <w:bodyDiv w:val="1"/>
      <w:marLeft w:val="0"/>
      <w:marRight w:val="0"/>
      <w:marTop w:val="0"/>
      <w:marBottom w:val="0"/>
      <w:divBdr>
        <w:top w:val="none" w:sz="0" w:space="0" w:color="auto"/>
        <w:left w:val="none" w:sz="0" w:space="0" w:color="auto"/>
        <w:bottom w:val="none" w:sz="0" w:space="0" w:color="auto"/>
        <w:right w:val="none" w:sz="0" w:space="0" w:color="auto"/>
      </w:divBdr>
    </w:div>
    <w:div w:id="1690646218">
      <w:bodyDiv w:val="1"/>
      <w:marLeft w:val="0"/>
      <w:marRight w:val="0"/>
      <w:marTop w:val="0"/>
      <w:marBottom w:val="0"/>
      <w:divBdr>
        <w:top w:val="none" w:sz="0" w:space="0" w:color="auto"/>
        <w:left w:val="none" w:sz="0" w:space="0" w:color="auto"/>
        <w:bottom w:val="none" w:sz="0" w:space="0" w:color="auto"/>
        <w:right w:val="none" w:sz="0" w:space="0" w:color="auto"/>
      </w:divBdr>
    </w:div>
    <w:div w:id="1738701973">
      <w:bodyDiv w:val="1"/>
      <w:marLeft w:val="0"/>
      <w:marRight w:val="0"/>
      <w:marTop w:val="0"/>
      <w:marBottom w:val="0"/>
      <w:divBdr>
        <w:top w:val="none" w:sz="0" w:space="0" w:color="auto"/>
        <w:left w:val="none" w:sz="0" w:space="0" w:color="auto"/>
        <w:bottom w:val="none" w:sz="0" w:space="0" w:color="auto"/>
        <w:right w:val="none" w:sz="0" w:space="0" w:color="auto"/>
      </w:divBdr>
    </w:div>
    <w:div w:id="1746806493">
      <w:bodyDiv w:val="1"/>
      <w:marLeft w:val="0"/>
      <w:marRight w:val="0"/>
      <w:marTop w:val="0"/>
      <w:marBottom w:val="0"/>
      <w:divBdr>
        <w:top w:val="none" w:sz="0" w:space="0" w:color="auto"/>
        <w:left w:val="none" w:sz="0" w:space="0" w:color="auto"/>
        <w:bottom w:val="none" w:sz="0" w:space="0" w:color="auto"/>
        <w:right w:val="none" w:sz="0" w:space="0" w:color="auto"/>
      </w:divBdr>
      <w:divsChild>
        <w:div w:id="740252498">
          <w:marLeft w:val="547"/>
          <w:marRight w:val="0"/>
          <w:marTop w:val="192"/>
          <w:marBottom w:val="0"/>
          <w:divBdr>
            <w:top w:val="none" w:sz="0" w:space="0" w:color="auto"/>
            <w:left w:val="none" w:sz="0" w:space="0" w:color="auto"/>
            <w:bottom w:val="none" w:sz="0" w:space="0" w:color="auto"/>
            <w:right w:val="none" w:sz="0" w:space="0" w:color="auto"/>
          </w:divBdr>
        </w:div>
        <w:div w:id="896471090">
          <w:marLeft w:val="547"/>
          <w:marRight w:val="0"/>
          <w:marTop w:val="192"/>
          <w:marBottom w:val="0"/>
          <w:divBdr>
            <w:top w:val="none" w:sz="0" w:space="0" w:color="auto"/>
            <w:left w:val="none" w:sz="0" w:space="0" w:color="auto"/>
            <w:bottom w:val="none" w:sz="0" w:space="0" w:color="auto"/>
            <w:right w:val="none" w:sz="0" w:space="0" w:color="auto"/>
          </w:divBdr>
        </w:div>
        <w:div w:id="1137992352">
          <w:marLeft w:val="547"/>
          <w:marRight w:val="0"/>
          <w:marTop w:val="192"/>
          <w:marBottom w:val="0"/>
          <w:divBdr>
            <w:top w:val="none" w:sz="0" w:space="0" w:color="auto"/>
            <w:left w:val="none" w:sz="0" w:space="0" w:color="auto"/>
            <w:bottom w:val="none" w:sz="0" w:space="0" w:color="auto"/>
            <w:right w:val="none" w:sz="0" w:space="0" w:color="auto"/>
          </w:divBdr>
        </w:div>
        <w:div w:id="1576210227">
          <w:marLeft w:val="547"/>
          <w:marRight w:val="0"/>
          <w:marTop w:val="192"/>
          <w:marBottom w:val="0"/>
          <w:divBdr>
            <w:top w:val="none" w:sz="0" w:space="0" w:color="auto"/>
            <w:left w:val="none" w:sz="0" w:space="0" w:color="auto"/>
            <w:bottom w:val="none" w:sz="0" w:space="0" w:color="auto"/>
            <w:right w:val="none" w:sz="0" w:space="0" w:color="auto"/>
          </w:divBdr>
        </w:div>
        <w:div w:id="1669139774">
          <w:marLeft w:val="547"/>
          <w:marRight w:val="0"/>
          <w:marTop w:val="192"/>
          <w:marBottom w:val="0"/>
          <w:divBdr>
            <w:top w:val="none" w:sz="0" w:space="0" w:color="auto"/>
            <w:left w:val="none" w:sz="0" w:space="0" w:color="auto"/>
            <w:bottom w:val="none" w:sz="0" w:space="0" w:color="auto"/>
            <w:right w:val="none" w:sz="0" w:space="0" w:color="auto"/>
          </w:divBdr>
        </w:div>
      </w:divsChild>
    </w:div>
    <w:div w:id="1762143143">
      <w:bodyDiv w:val="1"/>
      <w:marLeft w:val="0"/>
      <w:marRight w:val="0"/>
      <w:marTop w:val="0"/>
      <w:marBottom w:val="0"/>
      <w:divBdr>
        <w:top w:val="none" w:sz="0" w:space="0" w:color="auto"/>
        <w:left w:val="none" w:sz="0" w:space="0" w:color="auto"/>
        <w:bottom w:val="none" w:sz="0" w:space="0" w:color="auto"/>
        <w:right w:val="none" w:sz="0" w:space="0" w:color="auto"/>
      </w:divBdr>
    </w:div>
    <w:div w:id="1843202276">
      <w:bodyDiv w:val="1"/>
      <w:marLeft w:val="0"/>
      <w:marRight w:val="0"/>
      <w:marTop w:val="0"/>
      <w:marBottom w:val="0"/>
      <w:divBdr>
        <w:top w:val="none" w:sz="0" w:space="0" w:color="auto"/>
        <w:left w:val="none" w:sz="0" w:space="0" w:color="auto"/>
        <w:bottom w:val="none" w:sz="0" w:space="0" w:color="auto"/>
        <w:right w:val="none" w:sz="0" w:space="0" w:color="auto"/>
      </w:divBdr>
    </w:div>
    <w:div w:id="1884368308">
      <w:bodyDiv w:val="1"/>
      <w:marLeft w:val="0"/>
      <w:marRight w:val="0"/>
      <w:marTop w:val="0"/>
      <w:marBottom w:val="0"/>
      <w:divBdr>
        <w:top w:val="none" w:sz="0" w:space="0" w:color="auto"/>
        <w:left w:val="none" w:sz="0" w:space="0" w:color="auto"/>
        <w:bottom w:val="none" w:sz="0" w:space="0" w:color="auto"/>
        <w:right w:val="none" w:sz="0" w:space="0" w:color="auto"/>
      </w:divBdr>
    </w:div>
    <w:div w:id="1914780078">
      <w:bodyDiv w:val="1"/>
      <w:marLeft w:val="0"/>
      <w:marRight w:val="0"/>
      <w:marTop w:val="0"/>
      <w:marBottom w:val="0"/>
      <w:divBdr>
        <w:top w:val="none" w:sz="0" w:space="0" w:color="auto"/>
        <w:left w:val="none" w:sz="0" w:space="0" w:color="auto"/>
        <w:bottom w:val="none" w:sz="0" w:space="0" w:color="auto"/>
        <w:right w:val="none" w:sz="0" w:space="0" w:color="auto"/>
      </w:divBdr>
      <w:divsChild>
        <w:div w:id="932125063">
          <w:marLeft w:val="274"/>
          <w:marRight w:val="0"/>
          <w:marTop w:val="0"/>
          <w:marBottom w:val="0"/>
          <w:divBdr>
            <w:top w:val="none" w:sz="0" w:space="0" w:color="auto"/>
            <w:left w:val="none" w:sz="0" w:space="0" w:color="auto"/>
            <w:bottom w:val="none" w:sz="0" w:space="0" w:color="auto"/>
            <w:right w:val="none" w:sz="0" w:space="0" w:color="auto"/>
          </w:divBdr>
        </w:div>
        <w:div w:id="1659922055">
          <w:marLeft w:val="274"/>
          <w:marRight w:val="0"/>
          <w:marTop w:val="0"/>
          <w:marBottom w:val="0"/>
          <w:divBdr>
            <w:top w:val="none" w:sz="0" w:space="0" w:color="auto"/>
            <w:left w:val="none" w:sz="0" w:space="0" w:color="auto"/>
            <w:bottom w:val="none" w:sz="0" w:space="0" w:color="auto"/>
            <w:right w:val="none" w:sz="0" w:space="0" w:color="auto"/>
          </w:divBdr>
        </w:div>
        <w:div w:id="1675111633">
          <w:marLeft w:val="274"/>
          <w:marRight w:val="0"/>
          <w:marTop w:val="0"/>
          <w:marBottom w:val="0"/>
          <w:divBdr>
            <w:top w:val="none" w:sz="0" w:space="0" w:color="auto"/>
            <w:left w:val="none" w:sz="0" w:space="0" w:color="auto"/>
            <w:bottom w:val="none" w:sz="0" w:space="0" w:color="auto"/>
            <w:right w:val="none" w:sz="0" w:space="0" w:color="auto"/>
          </w:divBdr>
        </w:div>
      </w:divsChild>
    </w:div>
    <w:div w:id="1919973453">
      <w:bodyDiv w:val="1"/>
      <w:marLeft w:val="0"/>
      <w:marRight w:val="0"/>
      <w:marTop w:val="0"/>
      <w:marBottom w:val="0"/>
      <w:divBdr>
        <w:top w:val="none" w:sz="0" w:space="0" w:color="auto"/>
        <w:left w:val="none" w:sz="0" w:space="0" w:color="auto"/>
        <w:bottom w:val="none" w:sz="0" w:space="0" w:color="auto"/>
        <w:right w:val="none" w:sz="0" w:space="0" w:color="auto"/>
      </w:divBdr>
      <w:divsChild>
        <w:div w:id="291905364">
          <w:marLeft w:val="274"/>
          <w:marRight w:val="0"/>
          <w:marTop w:val="0"/>
          <w:marBottom w:val="0"/>
          <w:divBdr>
            <w:top w:val="none" w:sz="0" w:space="0" w:color="auto"/>
            <w:left w:val="none" w:sz="0" w:space="0" w:color="auto"/>
            <w:bottom w:val="none" w:sz="0" w:space="0" w:color="auto"/>
            <w:right w:val="none" w:sz="0" w:space="0" w:color="auto"/>
          </w:divBdr>
        </w:div>
      </w:divsChild>
    </w:div>
    <w:div w:id="1958371544">
      <w:bodyDiv w:val="1"/>
      <w:marLeft w:val="0"/>
      <w:marRight w:val="0"/>
      <w:marTop w:val="0"/>
      <w:marBottom w:val="0"/>
      <w:divBdr>
        <w:top w:val="none" w:sz="0" w:space="0" w:color="auto"/>
        <w:left w:val="none" w:sz="0" w:space="0" w:color="auto"/>
        <w:bottom w:val="none" w:sz="0" w:space="0" w:color="auto"/>
        <w:right w:val="none" w:sz="0" w:space="0" w:color="auto"/>
      </w:divBdr>
    </w:div>
    <w:div w:id="1960141059">
      <w:bodyDiv w:val="1"/>
      <w:marLeft w:val="0"/>
      <w:marRight w:val="0"/>
      <w:marTop w:val="0"/>
      <w:marBottom w:val="0"/>
      <w:divBdr>
        <w:top w:val="none" w:sz="0" w:space="0" w:color="auto"/>
        <w:left w:val="none" w:sz="0" w:space="0" w:color="auto"/>
        <w:bottom w:val="none" w:sz="0" w:space="0" w:color="auto"/>
        <w:right w:val="none" w:sz="0" w:space="0" w:color="auto"/>
      </w:divBdr>
      <w:divsChild>
        <w:div w:id="1863518135">
          <w:marLeft w:val="576"/>
          <w:marRight w:val="0"/>
          <w:marTop w:val="0"/>
          <w:marBottom w:val="0"/>
          <w:divBdr>
            <w:top w:val="none" w:sz="0" w:space="0" w:color="auto"/>
            <w:left w:val="none" w:sz="0" w:space="0" w:color="auto"/>
            <w:bottom w:val="none" w:sz="0" w:space="0" w:color="auto"/>
            <w:right w:val="none" w:sz="0" w:space="0" w:color="auto"/>
          </w:divBdr>
        </w:div>
      </w:divsChild>
    </w:div>
    <w:div w:id="1976334048">
      <w:bodyDiv w:val="1"/>
      <w:marLeft w:val="0"/>
      <w:marRight w:val="0"/>
      <w:marTop w:val="0"/>
      <w:marBottom w:val="0"/>
      <w:divBdr>
        <w:top w:val="none" w:sz="0" w:space="0" w:color="auto"/>
        <w:left w:val="none" w:sz="0" w:space="0" w:color="auto"/>
        <w:bottom w:val="none" w:sz="0" w:space="0" w:color="auto"/>
        <w:right w:val="none" w:sz="0" w:space="0" w:color="auto"/>
      </w:divBdr>
    </w:div>
    <w:div w:id="2010055941">
      <w:bodyDiv w:val="1"/>
      <w:marLeft w:val="0"/>
      <w:marRight w:val="0"/>
      <w:marTop w:val="0"/>
      <w:marBottom w:val="0"/>
      <w:divBdr>
        <w:top w:val="none" w:sz="0" w:space="0" w:color="auto"/>
        <w:left w:val="none" w:sz="0" w:space="0" w:color="auto"/>
        <w:bottom w:val="none" w:sz="0" w:space="0" w:color="auto"/>
        <w:right w:val="none" w:sz="0" w:space="0" w:color="auto"/>
      </w:divBdr>
    </w:div>
    <w:div w:id="2020112317">
      <w:bodyDiv w:val="1"/>
      <w:marLeft w:val="0"/>
      <w:marRight w:val="0"/>
      <w:marTop w:val="0"/>
      <w:marBottom w:val="0"/>
      <w:divBdr>
        <w:top w:val="none" w:sz="0" w:space="0" w:color="auto"/>
        <w:left w:val="none" w:sz="0" w:space="0" w:color="auto"/>
        <w:bottom w:val="none" w:sz="0" w:space="0" w:color="auto"/>
        <w:right w:val="none" w:sz="0" w:space="0" w:color="auto"/>
      </w:divBdr>
    </w:div>
    <w:div w:id="2025276664">
      <w:bodyDiv w:val="1"/>
      <w:marLeft w:val="0"/>
      <w:marRight w:val="0"/>
      <w:marTop w:val="0"/>
      <w:marBottom w:val="0"/>
      <w:divBdr>
        <w:top w:val="none" w:sz="0" w:space="0" w:color="auto"/>
        <w:left w:val="none" w:sz="0" w:space="0" w:color="auto"/>
        <w:bottom w:val="none" w:sz="0" w:space="0" w:color="auto"/>
        <w:right w:val="none" w:sz="0" w:space="0" w:color="auto"/>
      </w:divBdr>
    </w:div>
    <w:div w:id="2039160472">
      <w:bodyDiv w:val="1"/>
      <w:marLeft w:val="0"/>
      <w:marRight w:val="0"/>
      <w:marTop w:val="0"/>
      <w:marBottom w:val="0"/>
      <w:divBdr>
        <w:top w:val="none" w:sz="0" w:space="0" w:color="auto"/>
        <w:left w:val="none" w:sz="0" w:space="0" w:color="auto"/>
        <w:bottom w:val="none" w:sz="0" w:space="0" w:color="auto"/>
        <w:right w:val="none" w:sz="0" w:space="0" w:color="auto"/>
      </w:divBdr>
    </w:div>
    <w:div w:id="2048288117">
      <w:bodyDiv w:val="1"/>
      <w:marLeft w:val="0"/>
      <w:marRight w:val="0"/>
      <w:marTop w:val="0"/>
      <w:marBottom w:val="0"/>
      <w:divBdr>
        <w:top w:val="none" w:sz="0" w:space="0" w:color="auto"/>
        <w:left w:val="none" w:sz="0" w:space="0" w:color="auto"/>
        <w:bottom w:val="none" w:sz="0" w:space="0" w:color="auto"/>
        <w:right w:val="none" w:sz="0" w:space="0" w:color="auto"/>
      </w:divBdr>
      <w:divsChild>
        <w:div w:id="801074140">
          <w:marLeft w:val="144"/>
          <w:marRight w:val="0"/>
          <w:marTop w:val="0"/>
          <w:marBottom w:val="0"/>
          <w:divBdr>
            <w:top w:val="none" w:sz="0" w:space="0" w:color="auto"/>
            <w:left w:val="none" w:sz="0" w:space="0" w:color="auto"/>
            <w:bottom w:val="none" w:sz="0" w:space="0" w:color="auto"/>
            <w:right w:val="none" w:sz="0" w:space="0" w:color="auto"/>
          </w:divBdr>
        </w:div>
        <w:div w:id="978146810">
          <w:marLeft w:val="144"/>
          <w:marRight w:val="0"/>
          <w:marTop w:val="0"/>
          <w:marBottom w:val="0"/>
          <w:divBdr>
            <w:top w:val="none" w:sz="0" w:space="0" w:color="auto"/>
            <w:left w:val="none" w:sz="0" w:space="0" w:color="auto"/>
            <w:bottom w:val="none" w:sz="0" w:space="0" w:color="auto"/>
            <w:right w:val="none" w:sz="0" w:space="0" w:color="auto"/>
          </w:divBdr>
        </w:div>
        <w:div w:id="1037664215">
          <w:marLeft w:val="144"/>
          <w:marRight w:val="0"/>
          <w:marTop w:val="0"/>
          <w:marBottom w:val="0"/>
          <w:divBdr>
            <w:top w:val="none" w:sz="0" w:space="0" w:color="auto"/>
            <w:left w:val="none" w:sz="0" w:space="0" w:color="auto"/>
            <w:bottom w:val="none" w:sz="0" w:space="0" w:color="auto"/>
            <w:right w:val="none" w:sz="0" w:space="0" w:color="auto"/>
          </w:divBdr>
        </w:div>
      </w:divsChild>
    </w:div>
    <w:div w:id="2051999028">
      <w:bodyDiv w:val="1"/>
      <w:marLeft w:val="0"/>
      <w:marRight w:val="0"/>
      <w:marTop w:val="0"/>
      <w:marBottom w:val="0"/>
      <w:divBdr>
        <w:top w:val="none" w:sz="0" w:space="0" w:color="auto"/>
        <w:left w:val="none" w:sz="0" w:space="0" w:color="auto"/>
        <w:bottom w:val="none" w:sz="0" w:space="0" w:color="auto"/>
        <w:right w:val="none" w:sz="0" w:space="0" w:color="auto"/>
      </w:divBdr>
    </w:div>
    <w:div w:id="2059931574">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ran/TSG_RAN/TSGR_102/Info_for_workplan/new_approved_WID_12/RAN1_5/RP-234039.zip"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ftp/Specs/archive/38_series/38.843/38843-i00.zip"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ftp/tsg_ran/TSG_RAN/TSGR_94e/Docs/RP-213599.zip"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63fb15c9108bb19bc15daadcc5430e71">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d9262eea9c350057316592cec0f5c038"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E388FE4-4E2C-4DB7-83F3-454E937B9357}">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customXml/itemProps2.xml><?xml version="1.0" encoding="utf-8"?>
<ds:datastoreItem xmlns:ds="http://schemas.openxmlformats.org/officeDocument/2006/customXml" ds:itemID="{B344DEBB-FC75-460E-B1A0-D9E4F0B12F59}">
  <ds:schemaRefs>
    <ds:schemaRef ds:uri="http://schemas.microsoft.com/sharepoint/v3/contenttype/forms"/>
  </ds:schemaRefs>
</ds:datastoreItem>
</file>

<file path=customXml/itemProps3.xml><?xml version="1.0" encoding="utf-8"?>
<ds:datastoreItem xmlns:ds="http://schemas.openxmlformats.org/officeDocument/2006/customXml" ds:itemID="{5660FDBD-1DD4-43AD-92A7-684279765478}">
  <ds:schemaRefs>
    <ds:schemaRef ds:uri="http://schemas.openxmlformats.org/officeDocument/2006/bibliography"/>
  </ds:schemaRefs>
</ds:datastoreItem>
</file>

<file path=customXml/itemProps4.xml><?xml version="1.0" encoding="utf-8"?>
<ds:datastoreItem xmlns:ds="http://schemas.openxmlformats.org/officeDocument/2006/customXml" ds:itemID="{B88677C1-4632-41DA-BBD4-18C1D4174D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1153</TotalTime>
  <Pages>6</Pages>
  <Words>3015</Words>
  <Characters>19535</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22505</CharactersWithSpaces>
  <SharedDoc>false</SharedDoc>
  <HLinks>
    <vt:vector size="42" baseType="variant">
      <vt:variant>
        <vt:i4>1114232</vt:i4>
      </vt:variant>
      <vt:variant>
        <vt:i4>6</vt:i4>
      </vt:variant>
      <vt:variant>
        <vt:i4>0</vt:i4>
      </vt:variant>
      <vt:variant>
        <vt:i4>5</vt:i4>
      </vt:variant>
      <vt:variant>
        <vt:lpwstr>https://www.3gpp.org/ftp/tsg_ran/TSG_RAN/TSGR_102/Info_for_workplan/new_approved_WID_12/RAN1_5/RP-234039.zip</vt:lpwstr>
      </vt:variant>
      <vt:variant>
        <vt:lpwstr/>
      </vt:variant>
      <vt:variant>
        <vt:i4>6881295</vt:i4>
      </vt:variant>
      <vt:variant>
        <vt:i4>3</vt:i4>
      </vt:variant>
      <vt:variant>
        <vt:i4>0</vt:i4>
      </vt:variant>
      <vt:variant>
        <vt:i4>5</vt:i4>
      </vt:variant>
      <vt:variant>
        <vt:lpwstr>https://www.3gpp.org/ftp/Specs/archive/38_series/38.843/38843-i00.zip</vt:lpwstr>
      </vt:variant>
      <vt:variant>
        <vt:lpwstr/>
      </vt:variant>
      <vt:variant>
        <vt:i4>3801098</vt:i4>
      </vt:variant>
      <vt:variant>
        <vt:i4>0</vt:i4>
      </vt:variant>
      <vt:variant>
        <vt:i4>0</vt:i4>
      </vt:variant>
      <vt:variant>
        <vt:i4>5</vt:i4>
      </vt:variant>
      <vt:variant>
        <vt:lpwstr>http://www.3gpp.org/ftp/tsg_ran/TSG_RAN/TSGR_94e/Docs/RP-213599.zip</vt:lpwstr>
      </vt:variant>
      <vt:variant>
        <vt:lpwstr/>
      </vt:variant>
      <vt:variant>
        <vt:i4>6946827</vt:i4>
      </vt:variant>
      <vt:variant>
        <vt:i4>9</vt:i4>
      </vt:variant>
      <vt:variant>
        <vt:i4>0</vt:i4>
      </vt:variant>
      <vt:variant>
        <vt:i4>5</vt:i4>
      </vt:variant>
      <vt:variant>
        <vt:lpwstr>mailto:rkum@qti.qualcomm.com</vt:lpwstr>
      </vt:variant>
      <vt:variant>
        <vt:lpwstr/>
      </vt:variant>
      <vt:variant>
        <vt:i4>6946827</vt:i4>
      </vt:variant>
      <vt:variant>
        <vt:i4>6</vt:i4>
      </vt:variant>
      <vt:variant>
        <vt:i4>0</vt:i4>
      </vt:variant>
      <vt:variant>
        <vt:i4>5</vt:i4>
      </vt:variant>
      <vt:variant>
        <vt:lpwstr>mailto:rkum@qti.qualcomm.com</vt:lpwstr>
      </vt:variant>
      <vt:variant>
        <vt:lpwstr/>
      </vt:variant>
      <vt:variant>
        <vt:i4>6946827</vt:i4>
      </vt:variant>
      <vt:variant>
        <vt:i4>3</vt:i4>
      </vt:variant>
      <vt:variant>
        <vt:i4>0</vt:i4>
      </vt:variant>
      <vt:variant>
        <vt:i4>5</vt:i4>
      </vt:variant>
      <vt:variant>
        <vt:lpwstr>mailto:rkum@qti.qualcomm.com</vt:lpwstr>
      </vt:variant>
      <vt:variant>
        <vt:lpwstr/>
      </vt:variant>
      <vt:variant>
        <vt:i4>6946827</vt:i4>
      </vt:variant>
      <vt:variant>
        <vt:i4>0</vt:i4>
      </vt:variant>
      <vt:variant>
        <vt:i4>0</vt:i4>
      </vt:variant>
      <vt:variant>
        <vt:i4>5</vt:i4>
      </vt:variant>
      <vt:variant>
        <vt:lpwstr>mailto:rkum@qti.qualcomm.com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Rajeev Kumar</cp:lastModifiedBy>
  <cp:revision>75</cp:revision>
  <cp:lastPrinted>2011-08-03T08:36:00Z</cp:lastPrinted>
  <dcterms:created xsi:type="dcterms:W3CDTF">2025-02-03T06:20:00Z</dcterms:created>
  <dcterms:modified xsi:type="dcterms:W3CDTF">2025-03-28T06:26:00Z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y fmtid="{D5CDD505-2E9C-101B-9397-08002B2CF9AE}" pid="3" name="ContentTypeId">
    <vt:lpwstr>0x010100C25F18D6B90E5F4ABEB578433DD5E523</vt:lpwstr>
  </property>
  <property fmtid="{D5CDD505-2E9C-101B-9397-08002B2CF9AE}" pid="4" name="MediaServiceImageTags">
    <vt:lpwstr/>
  </property>
  <property fmtid="{D5CDD505-2E9C-101B-9397-08002B2CF9AE}" pid="5" name="GrammarlyDocumentId">
    <vt:lpwstr>f43b4fd8464cc27df03c77b71a7ae4745d19e251c0a05ee78756ff8c9adad2e2</vt:lpwstr>
  </property>
</Properties>
</file>